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小标宋_GBK" w:cs="Times New Roman"/>
          <w:sz w:val="44"/>
          <w:szCs w:val="44"/>
          <w:highlight w:val="none"/>
          <w:lang w:eastAsia="zh-CN"/>
        </w:rPr>
      </w:pPr>
      <w:r>
        <w:rPr>
          <w:rFonts w:hint="default" w:ascii="Times New Roman" w:hAnsi="Times New Roman" w:eastAsia="黑体" w:cs="Times New Roman"/>
          <w:sz w:val="30"/>
          <w:szCs w:val="30"/>
          <w:highlight w:val="none"/>
          <w:lang w:eastAsia="zh-CN"/>
        </w:rPr>
        <w:t>附件</w:t>
      </w:r>
      <w:r>
        <w:rPr>
          <w:rFonts w:hint="default" w:ascii="Times New Roman" w:hAnsi="Times New Roman" w:eastAsia="黑体" w:cs="Times New Roman"/>
          <w:sz w:val="30"/>
          <w:szCs w:val="30"/>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方正小标宋_GBK" w:cs="Times New Roman"/>
          <w:sz w:val="44"/>
          <w:szCs w:val="44"/>
          <w:highlight w:val="none"/>
        </w:rPr>
      </w:pPr>
      <w:bookmarkStart w:id="0" w:name="_GoBack"/>
      <w:r>
        <w:rPr>
          <w:rFonts w:hint="default" w:ascii="Times New Roman" w:hAnsi="Times New Roman" w:eastAsia="方正小标宋_GBK" w:cs="Times New Roman"/>
          <w:sz w:val="44"/>
          <w:szCs w:val="44"/>
          <w:highlight w:val="none"/>
        </w:rPr>
        <w:t>评标原则与方法</w:t>
      </w:r>
    </w:p>
    <w:bookmarkEnd w:id="0"/>
    <w:p>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（一）广州住房公积金管理中心组织项目投标评审会，对广州住房公积金管理中心</w:t>
      </w:r>
      <w:r>
        <w:rPr>
          <w:rFonts w:hint="default" w:ascii="Times New Roman" w:hAnsi="Times New Roman" w:eastAsia="仿宋_GB2312" w:cs="Times New Roman"/>
          <w:sz w:val="32"/>
          <w:szCs w:val="32"/>
          <w:highlight w:val="none"/>
          <w:lang w:eastAsia="zh-CN"/>
        </w:rPr>
        <w:t>执法文书业务档案</w:t>
      </w:r>
      <w:r>
        <w:rPr>
          <w:rFonts w:hint="default" w:ascii="Times New Roman" w:hAnsi="Times New Roman" w:eastAsia="仿宋_GB2312" w:cs="Times New Roman"/>
          <w:sz w:val="32"/>
          <w:szCs w:val="32"/>
          <w:highlight w:val="none"/>
        </w:rPr>
        <w:t>整理项目的投标文件进行评审，并出具书面评标报告。</w:t>
      </w:r>
    </w:p>
    <w:p>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（二）评审方法与中标结果通知</w:t>
      </w:r>
    </w:p>
    <w:p>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1.若有3家或以上的投标单位符合投标单位资格要求，评标委员会进行投标文件评审。若少于3家的投标单位符合投标单位资格要求，则此次邀请招标作废标处理。</w:t>
      </w:r>
    </w:p>
    <w:p>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2.本次招标采用评分评审法</w:t>
      </w:r>
    </w:p>
    <w:p>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将评分由高到低顺序排列。评分相同的，按各投标单位报价由低到高顺序排列；评分相同，且报价相同的，名次由评委会抽签决定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评分相同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报价不同的，选择其中报价最低的作为</w:t>
      </w:r>
      <w:r>
        <w:rPr>
          <w:rFonts w:hint="default" w:ascii="Times New Roman" w:hAnsi="Times New Roman" w:eastAsia="仿宋_GB2312" w:cs="Times New Roman"/>
          <w:sz w:val="32"/>
          <w:szCs w:val="32"/>
          <w:highlight w:val="none"/>
        </w:rPr>
        <w:t>中标供应商。投标单位最终得分=所有评委评分总和/评委人数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3.</w:t>
      </w:r>
      <w:r>
        <w:rPr>
          <w:rFonts w:hint="default" w:ascii="Times New Roman" w:hAnsi="Times New Roman" w:eastAsia="仿宋_GB2312" w:cs="Times New Roman"/>
          <w:sz w:val="32"/>
          <w:szCs w:val="32"/>
          <w:highlight w:val="none"/>
        </w:rPr>
        <w:t>评标委员会按上述排列推荐第一名为中标供应商，第二名为候补中标供应商。</w:t>
      </w: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p>
      <w:pPr>
        <w:pStyle w:val="2"/>
        <w:numPr>
          <w:ilvl w:val="0"/>
          <w:numId w:val="0"/>
        </w:numPr>
        <w:ind w:leftChars="0"/>
        <w:rPr>
          <w:rFonts w:hint="default" w:ascii="Times New Roman" w:hAnsi="Times New Roman" w:cs="Times New Roman"/>
          <w:highlight w:val="none"/>
        </w:rPr>
      </w:pPr>
    </w:p>
    <w:tbl>
      <w:tblPr>
        <w:tblStyle w:val="3"/>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429"/>
        <w:gridCol w:w="5387"/>
        <w:gridCol w:w="121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8512" w:type="dxa"/>
            <w:gridSpan w:val="4"/>
            <w:noWrap w:val="0"/>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评标因素</w:t>
            </w:r>
          </w:p>
        </w:tc>
        <w:tc>
          <w:tcPr>
            <w:tcW w:w="1224" w:type="dxa"/>
            <w:gridSpan w:val="2"/>
            <w:noWrap w:val="0"/>
            <w:vAlign w:val="center"/>
          </w:tcPr>
          <w:p>
            <w:pPr>
              <w:widowControl/>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1759" w:hRule="atLeast"/>
          <w:jc w:val="center"/>
        </w:trPr>
        <w:tc>
          <w:tcPr>
            <w:tcW w:w="421" w:type="dxa"/>
            <w:noWrap w:val="0"/>
            <w:vAlign w:val="center"/>
          </w:tcPr>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w:t>
            </w:r>
          </w:p>
        </w:tc>
        <w:tc>
          <w:tcPr>
            <w:tcW w:w="1275" w:type="dxa"/>
            <w:noWrap w:val="0"/>
            <w:vAlign w:val="center"/>
          </w:tcPr>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价格</w:t>
            </w:r>
          </w:p>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15分</w:t>
            </w:r>
          </w:p>
        </w:tc>
        <w:tc>
          <w:tcPr>
            <w:tcW w:w="6816" w:type="dxa"/>
            <w:gridSpan w:val="2"/>
            <w:noWrap w:val="0"/>
            <w:vAlign w:val="center"/>
          </w:tcPr>
          <w:p>
            <w:pPr>
              <w:widowControl/>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投标报价得分＝（评标基准价/投标报价）×价格分值（注：满足招标文件要求且投标价格最低的投标报价为评标基准价。）最低报价不是中标的唯一依据。</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restart"/>
            <w:noWrap w:val="0"/>
            <w:vAlign w:val="center"/>
          </w:tcPr>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w:t>
            </w:r>
          </w:p>
        </w:tc>
        <w:tc>
          <w:tcPr>
            <w:tcW w:w="1275" w:type="dxa"/>
            <w:vMerge w:val="restart"/>
            <w:noWrap w:val="0"/>
            <w:vAlign w:val="center"/>
          </w:tcPr>
          <w:p>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商务</w:t>
            </w:r>
          </w:p>
          <w:p>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lang w:val="en-US" w:eastAsia="zh-CN"/>
              </w:rPr>
              <w:t>25</w:t>
            </w:r>
            <w:r>
              <w:rPr>
                <w:rFonts w:hint="default" w:ascii="Times New Roman" w:hAnsi="Times New Roman" w:cs="Times New Roman"/>
                <w:kern w:val="0"/>
                <w:szCs w:val="21"/>
                <w:highlight w:val="none"/>
              </w:rPr>
              <w:t>分</w:t>
            </w:r>
          </w:p>
        </w:tc>
        <w:tc>
          <w:tcPr>
            <w:tcW w:w="1429" w:type="dxa"/>
            <w:noWrap w:val="0"/>
            <w:vAlign w:val="center"/>
          </w:tcPr>
          <w:p>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商务资质</w:t>
            </w:r>
          </w:p>
          <w:p>
            <w:pPr>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lang w:val="en-US" w:eastAsia="zh-CN"/>
              </w:rPr>
              <w:t>5</w:t>
            </w:r>
            <w:r>
              <w:rPr>
                <w:rFonts w:hint="default" w:ascii="Times New Roman" w:hAnsi="Times New Roman" w:cs="Times New Roman"/>
                <w:kern w:val="0"/>
                <w:szCs w:val="21"/>
                <w:highlight w:val="none"/>
              </w:rPr>
              <w:t>分</w:t>
            </w:r>
          </w:p>
        </w:tc>
        <w:tc>
          <w:tcPr>
            <w:tcW w:w="5387" w:type="dxa"/>
            <w:noWrap w:val="0"/>
            <w:vAlign w:val="center"/>
          </w:tcPr>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根据投标人具备以下有效的商务资质证书情况进行打分：</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1）具备信息安全管理体系认证证书，得1分；</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2）具备质量管理系统认证证书，得1分；</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）具备信息技术服务管理体系认证证书得1分；</w:t>
            </w:r>
          </w:p>
          <w:p>
            <w:pP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）具备售后服务评价体系认证证书，得1分；</w:t>
            </w:r>
          </w:p>
          <w:p>
            <w:pP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）具备档案数字化体系5A级认证证书，得1分；</w:t>
            </w:r>
          </w:p>
          <w:p>
            <w:pP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注：以上需提供证明材料。</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技术资质</w:t>
            </w:r>
          </w:p>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5分</w:t>
            </w:r>
          </w:p>
        </w:tc>
        <w:tc>
          <w:tcPr>
            <w:tcW w:w="5387" w:type="dxa"/>
            <w:noWrap w:val="0"/>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根据投标人具备以下有效的技术资质证书情况进行打分：</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1）具备档案或电子文件相关专利证书，得1分</w:t>
            </w:r>
          </w:p>
          <w:p>
            <w:pPr>
              <w:rPr>
                <w:rFonts w:hint="default" w:ascii="Times New Roman" w:hAnsi="Times New Roman" w:cs="Times New Roman"/>
                <w:szCs w:val="21"/>
                <w:highlight w:val="none"/>
              </w:rPr>
            </w:pPr>
            <w:r>
              <w:rPr>
                <w:rFonts w:hint="default" w:ascii="Times New Roman" w:hAnsi="Times New Roman" w:cs="Times New Roman"/>
                <w:szCs w:val="21"/>
                <w:highlight w:val="none"/>
              </w:rPr>
              <w:t>2）具备保密管理体系认证证书，得1分。</w:t>
            </w:r>
          </w:p>
          <w:p>
            <w:pPr>
              <w:rPr>
                <w:rFonts w:hint="default" w:ascii="Times New Roman" w:hAnsi="Times New Roman" w:cs="Times New Roman"/>
                <w:szCs w:val="21"/>
                <w:highlight w:val="none"/>
              </w:rPr>
            </w:pPr>
            <w:r>
              <w:rPr>
                <w:rFonts w:hint="default" w:ascii="Times New Roman" w:hAnsi="Times New Roman" w:cs="Times New Roman"/>
                <w:szCs w:val="21"/>
                <w:highlight w:val="none"/>
              </w:rPr>
              <w:t>3）具备档案扫描管理系统软件相关著作权，得1分（需包含“扫描”关键字或具有档案扫描归</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档功能）。</w:t>
            </w:r>
          </w:p>
          <w:p>
            <w:pPr>
              <w:rPr>
                <w:rFonts w:hint="default" w:ascii="Times New Roman" w:hAnsi="Times New Roman" w:cs="Times New Roman"/>
                <w:szCs w:val="21"/>
                <w:highlight w:val="none"/>
              </w:rPr>
            </w:pPr>
            <w:r>
              <w:rPr>
                <w:rFonts w:hint="default" w:ascii="Times New Roman" w:hAnsi="Times New Roman" w:cs="Times New Roman"/>
                <w:szCs w:val="21"/>
                <w:highlight w:val="none"/>
              </w:rPr>
              <w:t>4）具备档案电子目录管理平台软件相关著作权，得1分（需包含“目录管理”关键字或具有电子目录著录平台功能）。</w:t>
            </w:r>
          </w:p>
          <w:p>
            <w:pPr>
              <w:widowControl/>
              <w:rPr>
                <w:rFonts w:hint="default" w:ascii="Times New Roman" w:hAnsi="Times New Roman" w:cs="Times New Roman"/>
                <w:szCs w:val="21"/>
                <w:highlight w:val="none"/>
              </w:rPr>
            </w:pPr>
            <w:r>
              <w:rPr>
                <w:rFonts w:hint="default" w:ascii="Times New Roman" w:hAnsi="Times New Roman" w:cs="Times New Roman"/>
                <w:szCs w:val="21"/>
                <w:highlight w:val="none"/>
              </w:rPr>
              <w:t>5）具备档案数字化加工安全管理系统软件相关著作权，得1分（需包含“数字化加工安全”关键字或具有数字化加工安全功能）。</w:t>
            </w:r>
          </w:p>
          <w:p>
            <w:pPr>
              <w:widowControl/>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注：以上需提供证明材料。</w:t>
            </w:r>
          </w:p>
        </w:tc>
        <w:tc>
          <w:tcPr>
            <w:tcW w:w="1217" w:type="dxa"/>
            <w:tcBorders>
              <w:bottom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vMerge w:val="restart"/>
            <w:noWrap w:val="0"/>
            <w:vAlign w:val="center"/>
          </w:tcPr>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客户满意度评价</w:t>
            </w:r>
          </w:p>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5分</w:t>
            </w:r>
          </w:p>
        </w:tc>
        <w:tc>
          <w:tcPr>
            <w:tcW w:w="5387" w:type="dxa"/>
            <w:vMerge w:val="restart"/>
            <w:tcBorders>
              <w:right w:val="single" w:color="auto" w:sz="4" w:space="0"/>
            </w:tcBorders>
            <w:noWrap w:val="0"/>
            <w:vAlign w:val="center"/>
          </w:tcPr>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根据投标人档案整理和数字化服务满意度评价进行打分。</w:t>
            </w:r>
          </w:p>
          <w:p>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每有1个评价为“优”及以上，得1分，满分5分。</w:t>
            </w:r>
          </w:p>
          <w:p>
            <w:pPr>
              <w:jc w:val="left"/>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注：1、提供客户评价复印件，需体现服务内容，客户评价，客户印章等信息。</w:t>
            </w:r>
          </w:p>
          <w:p>
            <w:pPr>
              <w:jc w:val="left"/>
              <w:rPr>
                <w:rFonts w:hint="default" w:ascii="Times New Roman" w:hAnsi="Times New Roman" w:cs="Times New Roman"/>
                <w:bCs/>
                <w:kern w:val="0"/>
                <w:szCs w:val="21"/>
                <w:highlight w:val="none"/>
              </w:rPr>
            </w:pPr>
            <w:r>
              <w:rPr>
                <w:rFonts w:hint="default" w:ascii="Times New Roman" w:hAnsi="Times New Roman" w:cs="Times New Roman"/>
                <w:b/>
                <w:bCs/>
                <w:szCs w:val="21"/>
                <w:highlight w:val="none"/>
              </w:rPr>
              <w:t>2、同个客户、同一项目的服务评价表，表扬信等评价文件，不重复计分。</w:t>
            </w:r>
          </w:p>
        </w:tc>
        <w:tc>
          <w:tcPr>
            <w:tcW w:w="1217" w:type="dxa"/>
            <w:tcBorders>
              <w:top w:val="single" w:color="auto" w:sz="4" w:space="0"/>
              <w:left w:val="single" w:color="auto" w:sz="4" w:space="0"/>
              <w:bottom w:val="nil"/>
              <w:right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vMerge w:val="continue"/>
            <w:noWrap w:val="0"/>
            <w:vAlign w:val="center"/>
          </w:tcPr>
          <w:p>
            <w:pPr>
              <w:widowControl/>
              <w:jc w:val="center"/>
              <w:rPr>
                <w:rFonts w:hint="default" w:ascii="Times New Roman" w:hAnsi="Times New Roman" w:cs="Times New Roman"/>
                <w:kern w:val="0"/>
                <w:szCs w:val="21"/>
                <w:highlight w:val="none"/>
              </w:rPr>
            </w:pPr>
          </w:p>
        </w:tc>
        <w:tc>
          <w:tcPr>
            <w:tcW w:w="5387" w:type="dxa"/>
            <w:vMerge w:val="continue"/>
            <w:tcBorders>
              <w:right w:val="single" w:color="auto" w:sz="4" w:space="0"/>
            </w:tcBorders>
            <w:noWrap w:val="0"/>
            <w:vAlign w:val="center"/>
          </w:tcPr>
          <w:p>
            <w:pPr>
              <w:jc w:val="left"/>
              <w:rPr>
                <w:rFonts w:hint="default" w:ascii="Times New Roman" w:hAnsi="Times New Roman" w:cs="Times New Roman"/>
                <w:szCs w:val="21"/>
                <w:highlight w:val="none"/>
              </w:rPr>
            </w:pPr>
          </w:p>
        </w:tc>
        <w:tc>
          <w:tcPr>
            <w:tcW w:w="1217" w:type="dxa"/>
            <w:tcBorders>
              <w:top w:val="nil"/>
              <w:left w:val="single" w:color="auto" w:sz="4" w:space="0"/>
              <w:bottom w:val="nil"/>
              <w:right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vMerge w:val="continue"/>
            <w:noWrap w:val="0"/>
            <w:vAlign w:val="center"/>
          </w:tcPr>
          <w:p>
            <w:pPr>
              <w:widowControl/>
              <w:jc w:val="center"/>
              <w:rPr>
                <w:rFonts w:hint="default" w:ascii="Times New Roman" w:hAnsi="Times New Roman" w:cs="Times New Roman"/>
                <w:kern w:val="0"/>
                <w:szCs w:val="21"/>
                <w:highlight w:val="none"/>
              </w:rPr>
            </w:pPr>
          </w:p>
        </w:tc>
        <w:tc>
          <w:tcPr>
            <w:tcW w:w="5387" w:type="dxa"/>
            <w:vMerge w:val="continue"/>
            <w:tcBorders>
              <w:right w:val="single" w:color="auto" w:sz="4" w:space="0"/>
            </w:tcBorders>
            <w:noWrap w:val="0"/>
            <w:vAlign w:val="center"/>
          </w:tcPr>
          <w:p>
            <w:pPr>
              <w:jc w:val="left"/>
              <w:rPr>
                <w:rFonts w:hint="default" w:ascii="Times New Roman" w:hAnsi="Times New Roman" w:cs="Times New Roman"/>
                <w:szCs w:val="21"/>
                <w:highlight w:val="none"/>
              </w:rPr>
            </w:pPr>
          </w:p>
        </w:tc>
        <w:tc>
          <w:tcPr>
            <w:tcW w:w="1224" w:type="dxa"/>
            <w:gridSpan w:val="2"/>
            <w:tcBorders>
              <w:top w:val="nil"/>
              <w:left w:val="single" w:color="auto" w:sz="4" w:space="0"/>
              <w:bottom w:val="nil"/>
              <w:right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vMerge w:val="continue"/>
            <w:noWrap w:val="0"/>
            <w:vAlign w:val="center"/>
          </w:tcPr>
          <w:p>
            <w:pPr>
              <w:widowControl/>
              <w:jc w:val="center"/>
              <w:rPr>
                <w:rFonts w:hint="default" w:ascii="Times New Roman" w:hAnsi="Times New Roman" w:cs="Times New Roman"/>
                <w:bCs/>
                <w:szCs w:val="21"/>
                <w:highlight w:val="none"/>
              </w:rPr>
            </w:pPr>
          </w:p>
        </w:tc>
        <w:tc>
          <w:tcPr>
            <w:tcW w:w="5387" w:type="dxa"/>
            <w:vMerge w:val="continue"/>
            <w:tcBorders>
              <w:right w:val="single" w:color="auto" w:sz="4" w:space="0"/>
            </w:tcBorders>
            <w:noWrap w:val="0"/>
            <w:vAlign w:val="center"/>
          </w:tcPr>
          <w:p>
            <w:pPr>
              <w:widowControl/>
              <w:rPr>
                <w:rFonts w:hint="default" w:ascii="Times New Roman" w:hAnsi="Times New Roman" w:cs="Times New Roman"/>
                <w:szCs w:val="21"/>
                <w:highlight w:val="none"/>
              </w:rPr>
            </w:pPr>
          </w:p>
        </w:tc>
        <w:tc>
          <w:tcPr>
            <w:tcW w:w="121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同类业绩</w:t>
            </w:r>
          </w:p>
          <w:p>
            <w:pPr>
              <w:pStyle w:val="2"/>
              <w:jc w:val="center"/>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lang w:val="en-US" w:eastAsia="zh-CN"/>
              </w:rPr>
              <w:t>5</w:t>
            </w:r>
            <w:r>
              <w:rPr>
                <w:rFonts w:hint="default" w:ascii="Times New Roman" w:hAnsi="Times New Roman" w:eastAsia="宋体" w:cs="Times New Roman"/>
                <w:sz w:val="21"/>
                <w:szCs w:val="21"/>
                <w:highlight w:val="none"/>
              </w:rPr>
              <w:t>分</w:t>
            </w:r>
          </w:p>
        </w:tc>
        <w:tc>
          <w:tcPr>
            <w:tcW w:w="5387" w:type="dxa"/>
            <w:noWrap w:val="0"/>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根据投标人2020年1月1日（以合同签订日期为准）以来的档案整理项目建设案例或相关档案数字化加工案例，情况进行打分，每提供1</w:t>
            </w:r>
            <w:r>
              <w:rPr>
                <w:rFonts w:hint="default" w:ascii="Times New Roman" w:hAnsi="Times New Roman" w:cs="Times New Roman"/>
                <w:szCs w:val="21"/>
                <w:highlight w:val="none"/>
                <w:lang w:eastAsia="zh-CN"/>
              </w:rPr>
              <w:t>个</w:t>
            </w:r>
            <w:r>
              <w:rPr>
                <w:rFonts w:hint="default" w:ascii="Times New Roman" w:hAnsi="Times New Roman" w:cs="Times New Roman"/>
                <w:szCs w:val="21"/>
                <w:highlight w:val="none"/>
              </w:rPr>
              <w:t>得1分，最多的5分。</w:t>
            </w:r>
          </w:p>
          <w:p>
            <w:pPr>
              <w:rPr>
                <w:rFonts w:hint="default" w:ascii="Times New Roman" w:hAnsi="Times New Roman" w:cs="Times New Roman"/>
                <w:szCs w:val="21"/>
                <w:highlight w:val="none"/>
              </w:rPr>
            </w:pPr>
            <w:r>
              <w:rPr>
                <w:rFonts w:hint="default" w:ascii="Times New Roman" w:hAnsi="Times New Roman" w:cs="Times New Roman"/>
                <w:b/>
                <w:bCs/>
                <w:szCs w:val="21"/>
                <w:highlight w:val="none"/>
              </w:rPr>
              <w:t>注：以上需提供合同复印件等证明材料。</w:t>
            </w:r>
          </w:p>
        </w:tc>
        <w:tc>
          <w:tcPr>
            <w:tcW w:w="1217" w:type="dxa"/>
            <w:tcBorders>
              <w:top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固定经营场所情况</w:t>
            </w:r>
          </w:p>
          <w:p>
            <w:pPr>
              <w:pStyle w:val="2"/>
              <w:ind w:firstLine="420" w:firstLineChars="200"/>
              <w:rPr>
                <w:rFonts w:hint="default" w:ascii="Times New Roman" w:hAnsi="Times New Roman" w:eastAsia="宋体" w:cs="Times New Roman"/>
                <w:sz w:val="21"/>
                <w:szCs w:val="21"/>
                <w:highlight w:val="none"/>
              </w:rPr>
            </w:pPr>
            <w:r>
              <w:rPr>
                <w:rFonts w:hint="default"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5分</w:t>
            </w:r>
          </w:p>
        </w:tc>
        <w:tc>
          <w:tcPr>
            <w:tcW w:w="5387" w:type="dxa"/>
            <w:noWrap w:val="0"/>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根据投标人在广州市是否具有固定经营场所情况进行打分：</w:t>
            </w:r>
          </w:p>
          <w:p>
            <w:pPr>
              <w:widowControl/>
              <w:rPr>
                <w:rFonts w:hint="default" w:ascii="Times New Roman" w:hAnsi="Times New Roman" w:cs="Times New Roman"/>
                <w:szCs w:val="21"/>
                <w:highlight w:val="none"/>
              </w:rPr>
            </w:pPr>
            <w:r>
              <w:rPr>
                <w:rFonts w:hint="default" w:ascii="Times New Roman" w:hAnsi="Times New Roman" w:cs="Times New Roman"/>
                <w:szCs w:val="21"/>
                <w:highlight w:val="none"/>
              </w:rPr>
              <w:t>在广州市具有固定经营场所的得</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5分，在广州市不具有固定经营场所的不得分。（需提供营业执照复印件</w:t>
            </w:r>
            <w:r>
              <w:rPr>
                <w:rFonts w:hint="default" w:ascii="Times New Roman" w:hAnsi="Times New Roman" w:cs="Times New Roman"/>
                <w:szCs w:val="21"/>
                <w:highlight w:val="none"/>
                <w:lang w:eastAsia="zh-CN"/>
              </w:rPr>
              <w:t>或</w:t>
            </w:r>
            <w:r>
              <w:rPr>
                <w:rFonts w:hint="default" w:ascii="Times New Roman" w:hAnsi="Times New Roman" w:cs="Times New Roman"/>
                <w:szCs w:val="21"/>
                <w:highlight w:val="none"/>
              </w:rPr>
              <w:t>广州市固定经营场所的相关证明文件，如租赁合同、产权证明等。）</w:t>
            </w:r>
          </w:p>
          <w:p>
            <w:pPr>
              <w:pStyle w:val="2"/>
              <w:rPr>
                <w:rFonts w:hint="default" w:ascii="Times New Roman" w:hAnsi="Times New Roman" w:cs="Times New Roman"/>
                <w:b/>
                <w:bCs/>
                <w:highlight w:val="none"/>
              </w:rPr>
            </w:pPr>
            <w:r>
              <w:rPr>
                <w:rFonts w:hint="default" w:ascii="Times New Roman" w:hAnsi="Times New Roman" w:cs="Times New Roman"/>
                <w:b/>
                <w:bCs/>
                <w:szCs w:val="21"/>
                <w:highlight w:val="none"/>
              </w:rPr>
              <w:t>注：以上需提供证明材料。</w:t>
            </w:r>
          </w:p>
        </w:tc>
        <w:tc>
          <w:tcPr>
            <w:tcW w:w="1217" w:type="dxa"/>
            <w:tcBorders>
              <w:top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jc w:val="center"/>
              <w:rPr>
                <w:rFonts w:hint="default" w:ascii="Times New Roman" w:hAnsi="Times New Roman" w:cs="Times New Roman"/>
                <w:kern w:val="0"/>
                <w:szCs w:val="21"/>
                <w:highlight w:val="none"/>
              </w:rPr>
            </w:pPr>
          </w:p>
        </w:tc>
        <w:tc>
          <w:tcPr>
            <w:tcW w:w="1275" w:type="dxa"/>
            <w:vMerge w:val="continue"/>
            <w:noWrap w:val="0"/>
            <w:vAlign w:val="center"/>
          </w:tcPr>
          <w:p>
            <w:pPr>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档案备案证书</w:t>
            </w:r>
          </w:p>
          <w:p>
            <w:pPr>
              <w:widowControl/>
              <w:jc w:val="center"/>
              <w:rPr>
                <w:rFonts w:hint="default" w:ascii="Times New Roman" w:hAnsi="Times New Roman" w:cs="Times New Roman"/>
                <w:bCs/>
                <w:szCs w:val="21"/>
                <w:highlight w:val="none"/>
              </w:rPr>
            </w:pPr>
            <w:r>
              <w:rPr>
                <w:rFonts w:hint="default" w:ascii="Times New Roman" w:hAnsi="Times New Roman" w:cs="Times New Roman"/>
                <w:highlight w:val="none"/>
                <w:lang w:val="en-US" w:eastAsia="zh-CN"/>
              </w:rPr>
              <w:t>2.5</w:t>
            </w:r>
            <w:r>
              <w:rPr>
                <w:rFonts w:hint="default" w:ascii="Times New Roman" w:hAnsi="Times New Roman" w:cs="Times New Roman"/>
                <w:highlight w:val="none"/>
              </w:rPr>
              <w:t>分</w:t>
            </w:r>
          </w:p>
        </w:tc>
        <w:tc>
          <w:tcPr>
            <w:tcW w:w="5387" w:type="dxa"/>
            <w:noWrap w:val="0"/>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根据投标人具备以下有效的档案备案证书情况进行打分：</w:t>
            </w:r>
          </w:p>
          <w:p>
            <w:pPr>
              <w:widowControl/>
              <w:rPr>
                <w:rFonts w:hint="default" w:ascii="Times New Roman" w:hAnsi="Times New Roman" w:cs="Times New Roman"/>
                <w:szCs w:val="21"/>
                <w:highlight w:val="none"/>
              </w:rPr>
            </w:pPr>
            <w:r>
              <w:rPr>
                <w:rFonts w:hint="default" w:ascii="Times New Roman" w:hAnsi="Times New Roman" w:cs="Times New Roman"/>
                <w:szCs w:val="21"/>
                <w:highlight w:val="none"/>
              </w:rPr>
              <w:t>获得国家有关部门或行业学会颁发的资质</w:t>
            </w:r>
            <w:r>
              <w:rPr>
                <w:rFonts w:hint="default" w:ascii="Times New Roman" w:hAnsi="Times New Roman" w:cs="Times New Roman"/>
                <w:szCs w:val="21"/>
                <w:highlight w:val="none"/>
                <w:lang w:eastAsia="zh-CN"/>
              </w:rPr>
              <w:t>或备案回执</w:t>
            </w:r>
            <w:r>
              <w:rPr>
                <w:rFonts w:hint="default" w:ascii="Times New Roman" w:hAnsi="Times New Roman" w:cs="Times New Roman"/>
                <w:szCs w:val="21"/>
                <w:highlight w:val="none"/>
              </w:rPr>
              <w:t>的得</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5分，未提供的不得分。</w:t>
            </w:r>
          </w:p>
          <w:p>
            <w:pPr>
              <w:rPr>
                <w:rFonts w:hint="default" w:ascii="Times New Roman" w:hAnsi="Times New Roman" w:cs="Times New Roman"/>
                <w:szCs w:val="21"/>
                <w:highlight w:val="none"/>
              </w:rPr>
            </w:pPr>
            <w:r>
              <w:rPr>
                <w:rFonts w:hint="default" w:ascii="Times New Roman" w:hAnsi="Times New Roman" w:cs="Times New Roman"/>
                <w:b/>
                <w:bCs/>
                <w:szCs w:val="21"/>
                <w:highlight w:val="none"/>
              </w:rPr>
              <w:t>注：以上须提供证明材料。</w:t>
            </w:r>
          </w:p>
        </w:tc>
        <w:tc>
          <w:tcPr>
            <w:tcW w:w="1217" w:type="dxa"/>
            <w:tcBorders>
              <w:top w:val="single" w:color="auto" w:sz="4" w:space="0"/>
            </w:tcBorders>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restart"/>
            <w:noWrap w:val="0"/>
            <w:vAlign w:val="center"/>
          </w:tcPr>
          <w:p>
            <w:pPr>
              <w:widowControl/>
              <w:jc w:val="center"/>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3</w:t>
            </w:r>
          </w:p>
        </w:tc>
        <w:tc>
          <w:tcPr>
            <w:tcW w:w="1275" w:type="dxa"/>
            <w:vMerge w:val="restart"/>
            <w:noWrap w:val="0"/>
            <w:vAlign w:val="center"/>
          </w:tcPr>
          <w:p>
            <w:pPr>
              <w:widowControl/>
              <w:jc w:val="center"/>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eastAsia="zh-CN"/>
              </w:rPr>
              <w:t>技术</w:t>
            </w:r>
            <w:r>
              <w:rPr>
                <w:rFonts w:hint="default" w:ascii="Times New Roman" w:hAnsi="Times New Roman" w:cs="Times New Roman"/>
                <w:kern w:val="0"/>
                <w:szCs w:val="21"/>
                <w:highlight w:val="none"/>
                <w:lang w:val="en-US" w:eastAsia="zh-CN"/>
              </w:rPr>
              <w:t>60分</w:t>
            </w:r>
          </w:p>
        </w:tc>
        <w:tc>
          <w:tcPr>
            <w:tcW w:w="1429" w:type="dxa"/>
            <w:vMerge w:val="restart"/>
            <w:noWrap w:val="0"/>
            <w:vAlign w:val="center"/>
          </w:tcPr>
          <w:p>
            <w:pPr>
              <w:widowControl/>
              <w:jc w:val="center"/>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eastAsia="zh-CN"/>
              </w:rPr>
              <w:t>人员配备</w:t>
            </w:r>
          </w:p>
          <w:p>
            <w:pPr>
              <w:widowControl/>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14分</w:t>
            </w:r>
          </w:p>
        </w:tc>
        <w:tc>
          <w:tcPr>
            <w:tcW w:w="5387" w:type="dxa"/>
            <w:vMerge w:val="restart"/>
            <w:noWrap w:val="0"/>
            <w:vAlign w:val="center"/>
          </w:tcPr>
          <w:p>
            <w:pPr>
              <w:widowControl/>
              <w:numPr>
                <w:ilvl w:val="0"/>
                <w:numId w:val="0"/>
              </w:numPr>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1）拟配备项目经理情况（1人）：具备由人力资源和社会保障部门或技能人员职业资格实施部门（单位）颁发高级工程师或以上职称证书，得4分。</w:t>
            </w:r>
          </w:p>
          <w:p>
            <w:pPr>
              <w:widowControl/>
              <w:numPr>
                <w:ilvl w:val="0"/>
                <w:numId w:val="0"/>
              </w:numPr>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注：投标人须提供资质材料扫描件及该项目经理在投标人服务的外部证明材料扫描件（如投标截止日之前六个月以内任意月份参加社会保险的《投保单》或《社会参保人员证明》等）。无提供的不得分。</w:t>
            </w:r>
          </w:p>
          <w:p>
            <w:pPr>
              <w:widowControl/>
              <w:numPr>
                <w:ilvl w:val="0"/>
                <w:numId w:val="1"/>
              </w:numPr>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拟配备项目团队人员情况（项目经理除外）：具有计算机科学与技术类、档案学类、法学类、管理学类等专业大专学历及以上的，每提供一个得2分，最高10分。</w:t>
            </w:r>
          </w:p>
          <w:p>
            <w:pPr>
              <w:rPr>
                <w:rFonts w:hint="default" w:ascii="Times New Roman" w:hAnsi="Times New Roman" w:cs="Times New Roman"/>
                <w:highlight w:val="none"/>
              </w:rPr>
            </w:pPr>
            <w:r>
              <w:rPr>
                <w:rFonts w:hint="default" w:ascii="Times New Roman" w:hAnsi="Times New Roman" w:cs="Times New Roman"/>
                <w:sz w:val="21"/>
                <w:szCs w:val="21"/>
                <w:highlight w:val="none"/>
                <w:lang w:val="en-US" w:eastAsia="zh-CN"/>
              </w:rPr>
              <w:t>注：提供在投标人任职的外部证明材料（如投标截止日之前六个月以内任意月份参加社会保险的《投保单》或《社会参保人员证明》等），若社保为代缴的，需提供代缴证明材料。无提供的不得分。</w:t>
            </w:r>
          </w:p>
          <w:p>
            <w:pPr>
              <w:rPr>
                <w:rFonts w:hint="default" w:ascii="Times New Roman" w:hAnsi="Times New Roman" w:cs="Times New Roman"/>
                <w:highlight w:val="none"/>
              </w:rPr>
            </w:pPr>
          </w:p>
          <w:p>
            <w:pPr>
              <w:widowControl/>
              <w:numPr>
                <w:ilvl w:val="0"/>
                <w:numId w:val="0"/>
              </w:numPr>
              <w:jc w:val="left"/>
              <w:rPr>
                <w:rFonts w:hint="default" w:ascii="Times New Roman" w:hAnsi="Times New Roman" w:cs="Times New Roman"/>
                <w:szCs w:val="21"/>
                <w:highlight w:val="none"/>
              </w:rPr>
            </w:pP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vMerge w:val="continue"/>
            <w:noWrap w:val="0"/>
            <w:vAlign w:val="center"/>
          </w:tcPr>
          <w:p>
            <w:pPr>
              <w:widowControl/>
              <w:jc w:val="center"/>
              <w:rPr>
                <w:rFonts w:hint="default" w:ascii="Times New Roman" w:hAnsi="Times New Roman" w:cs="Times New Roman"/>
                <w:szCs w:val="21"/>
                <w:highlight w:val="none"/>
                <w:lang w:val="en-US" w:eastAsia="zh-CN"/>
              </w:rPr>
            </w:pPr>
          </w:p>
        </w:tc>
        <w:tc>
          <w:tcPr>
            <w:tcW w:w="5387" w:type="dxa"/>
            <w:vMerge w:val="continue"/>
            <w:noWrap w:val="0"/>
            <w:vAlign w:val="center"/>
          </w:tcPr>
          <w:p>
            <w:pPr>
              <w:widowControl/>
              <w:jc w:val="left"/>
              <w:rPr>
                <w:rFonts w:hint="default" w:ascii="Times New Roman" w:hAnsi="Times New Roman" w:cs="Times New Roman"/>
                <w:szCs w:val="21"/>
                <w:highlight w:val="none"/>
              </w:rPr>
            </w:pP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需求理解</w:t>
            </w:r>
          </w:p>
          <w:p>
            <w:pPr>
              <w:widowControl/>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rPr>
              <w:t>3分</w:t>
            </w:r>
          </w:p>
        </w:tc>
        <w:tc>
          <w:tcPr>
            <w:tcW w:w="5387" w:type="dxa"/>
            <w:noWrap w:val="0"/>
            <w:vAlign w:val="center"/>
          </w:tcPr>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根据投标人对本项目需求的分析理解程度，即对需求分析是否全面、完整、目标任务是否明确，技术偏差情况，以及项目总体方案的科学性、合理性、规范性和可操作性情况进行打分。</w:t>
            </w:r>
          </w:p>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优良3（含）分；较好2（含）分；一般1-0（含）分。</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整理和扫描方案</w:t>
            </w:r>
          </w:p>
          <w:p>
            <w:pPr>
              <w:widowControl/>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rPr>
              <w:t>10分</w:t>
            </w:r>
          </w:p>
        </w:tc>
        <w:tc>
          <w:tcPr>
            <w:tcW w:w="5387" w:type="dxa"/>
            <w:noWrap w:val="0"/>
            <w:vAlign w:val="center"/>
          </w:tcPr>
          <w:p>
            <w:pPr>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根据投标人整理和扫描方案的科学性、完整性、合理性进行打分。</w:t>
            </w:r>
          </w:p>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优良10-7（含）分；较好</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-4（含）分；一般</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-0（含）分。</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实施管理方案</w:t>
            </w:r>
          </w:p>
          <w:p>
            <w:pPr>
              <w:widowControl/>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15</w:t>
            </w:r>
            <w:r>
              <w:rPr>
                <w:rFonts w:hint="default" w:ascii="Times New Roman" w:hAnsi="Times New Roman" w:cs="Times New Roman"/>
                <w:szCs w:val="21"/>
                <w:highlight w:val="none"/>
              </w:rPr>
              <w:t>分</w:t>
            </w:r>
          </w:p>
        </w:tc>
        <w:tc>
          <w:tcPr>
            <w:tcW w:w="5387" w:type="dxa"/>
            <w:noWrap w:val="0"/>
            <w:vAlign w:val="center"/>
          </w:tcPr>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根据投标人的实施管理方案进行打分，包括但不限于项目进度规划，</w:t>
            </w:r>
            <w:r>
              <w:rPr>
                <w:rFonts w:hint="default" w:ascii="Times New Roman" w:hAnsi="Times New Roman" w:cs="Times New Roman"/>
                <w:szCs w:val="21"/>
                <w:highlight w:val="none"/>
                <w:lang w:val="en-US" w:eastAsia="zh-CN"/>
              </w:rPr>
              <w:t>推进重点和关键点，</w:t>
            </w:r>
            <w:r>
              <w:rPr>
                <w:rFonts w:hint="default" w:ascii="Times New Roman" w:hAnsi="Times New Roman" w:cs="Times New Roman"/>
                <w:szCs w:val="21"/>
                <w:highlight w:val="none"/>
              </w:rPr>
              <w:t>并有完善的项目管理规范、应急赶工措施等。</w:t>
            </w:r>
          </w:p>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优良</w:t>
            </w:r>
            <w:r>
              <w:rPr>
                <w:rFonts w:hint="default" w:ascii="Times New Roman" w:hAnsi="Times New Roman" w:cs="Times New Roman"/>
                <w:szCs w:val="21"/>
                <w:highlight w:val="none"/>
                <w:lang w:val="en-US" w:eastAsia="zh-CN"/>
              </w:rPr>
              <w:t>15</w:t>
            </w: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11</w:t>
            </w:r>
            <w:r>
              <w:rPr>
                <w:rFonts w:hint="default" w:ascii="Times New Roman" w:hAnsi="Times New Roman" w:cs="Times New Roman"/>
                <w:szCs w:val="21"/>
                <w:highlight w:val="none"/>
              </w:rPr>
              <w:t>（含）分；较好</w:t>
            </w:r>
            <w:r>
              <w:rPr>
                <w:rFonts w:hint="default" w:ascii="Times New Roman" w:hAnsi="Times New Roman" w:cs="Times New Roman"/>
                <w:szCs w:val="21"/>
                <w:highlight w:val="none"/>
                <w:lang w:val="en-US" w:eastAsia="zh-CN"/>
              </w:rPr>
              <w:t>10</w:t>
            </w: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（含）分；一般</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-0（含）分。</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质量保证措施</w:t>
            </w:r>
          </w:p>
          <w:p>
            <w:pPr>
              <w:widowControl/>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rPr>
              <w:t>5分</w:t>
            </w:r>
          </w:p>
        </w:tc>
        <w:tc>
          <w:tcPr>
            <w:tcW w:w="5387" w:type="dxa"/>
            <w:noWrap w:val="0"/>
            <w:vAlign w:val="center"/>
          </w:tcPr>
          <w:p>
            <w:pPr>
              <w:widowControl/>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根据投标人的质量保证措施进行打分。</w:t>
            </w:r>
          </w:p>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优良5-4（含）分；较好3-2（含）分；一般1-0（含）分。</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安全保密方案</w:t>
            </w:r>
          </w:p>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5分</w:t>
            </w:r>
          </w:p>
        </w:tc>
        <w:tc>
          <w:tcPr>
            <w:tcW w:w="5387" w:type="dxa"/>
            <w:noWrap w:val="0"/>
            <w:vAlign w:val="center"/>
          </w:tcPr>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根据投标人提供的项目保密方</w:t>
            </w:r>
            <w:r>
              <w:rPr>
                <w:rFonts w:hint="default" w:ascii="Times New Roman" w:hAnsi="Times New Roman" w:cs="Times New Roman"/>
                <w:szCs w:val="21"/>
                <w:highlight w:val="none"/>
                <w:lang w:eastAsia="zh-CN"/>
              </w:rPr>
              <w:t>案（包括但不限于项目人员保密、档案实体保密、电子数据保密等方案）进行打分。</w:t>
            </w:r>
          </w:p>
          <w:p>
            <w:pPr>
              <w:widowControl/>
              <w:jc w:val="left"/>
              <w:rPr>
                <w:rFonts w:hint="default" w:ascii="Times New Roman" w:hAnsi="Times New Roman" w:cs="Times New Roman"/>
                <w:szCs w:val="21"/>
                <w:highlight w:val="none"/>
              </w:rPr>
            </w:pPr>
            <w:r>
              <w:rPr>
                <w:rFonts w:hint="default" w:ascii="Times New Roman" w:hAnsi="Times New Roman" w:cs="Times New Roman"/>
                <w:szCs w:val="21"/>
                <w:highlight w:val="none"/>
              </w:rPr>
              <w:t>优良5-4（含）分；较好3-2（含）分；一般1-0（含）分。</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售后服务</w:t>
            </w:r>
          </w:p>
          <w:p>
            <w:pPr>
              <w:widowControl/>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lang w:val="en-US" w:eastAsia="zh-CN"/>
              </w:rPr>
              <w:t>4</w:t>
            </w:r>
            <w:r>
              <w:rPr>
                <w:rFonts w:hint="default" w:ascii="Times New Roman" w:hAnsi="Times New Roman" w:cs="Times New Roman"/>
                <w:kern w:val="0"/>
                <w:szCs w:val="21"/>
                <w:highlight w:val="none"/>
              </w:rPr>
              <w:t>分</w:t>
            </w:r>
          </w:p>
        </w:tc>
        <w:tc>
          <w:tcPr>
            <w:tcW w:w="5387" w:type="dxa"/>
            <w:noWrap w:val="0"/>
            <w:vAlign w:val="center"/>
          </w:tcPr>
          <w:p>
            <w:pPr>
              <w:widowControl/>
              <w:jc w:val="left"/>
              <w:rPr>
                <w:rFonts w:hint="default" w:ascii="Times New Roman" w:hAnsi="Times New Roman" w:cs="Times New Roman"/>
                <w:szCs w:val="21"/>
                <w:highlight w:val="none"/>
              </w:rPr>
            </w:pPr>
            <w:r>
              <w:rPr>
                <w:rFonts w:hint="default" w:ascii="Times New Roman" w:hAnsi="Times New Roman" w:cs="Times New Roman"/>
                <w:bCs/>
                <w:szCs w:val="21"/>
                <w:highlight w:val="none"/>
              </w:rPr>
              <w:t>根据投标人提供的售后服务方案、响应时间、质保期等进行打分。</w:t>
            </w:r>
            <w:r>
              <w:rPr>
                <w:rFonts w:hint="default" w:ascii="Times New Roman" w:hAnsi="Times New Roman" w:cs="Times New Roman"/>
                <w:szCs w:val="21"/>
                <w:highlight w:val="none"/>
              </w:rPr>
              <w:t>优良</w:t>
            </w:r>
            <w:r>
              <w:rPr>
                <w:rFonts w:hint="default" w:ascii="Times New Roman" w:hAnsi="Times New Roman" w:cs="Times New Roman"/>
                <w:szCs w:val="21"/>
                <w:highlight w:val="none"/>
                <w:lang w:val="en-US" w:eastAsia="zh-CN"/>
              </w:rPr>
              <w:t>4-3</w:t>
            </w:r>
            <w:r>
              <w:rPr>
                <w:rFonts w:hint="default" w:ascii="Times New Roman" w:hAnsi="Times New Roman" w:cs="Times New Roman"/>
                <w:szCs w:val="21"/>
                <w:highlight w:val="none"/>
              </w:rPr>
              <w:t>（含）分；较好</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分；一般</w:t>
            </w: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rPr>
              <w:t>分。</w:t>
            </w:r>
          </w:p>
        </w:tc>
        <w:tc>
          <w:tcPr>
            <w:tcW w:w="1217" w:type="dxa"/>
            <w:noWrap w:val="0"/>
            <w:vAlign w:val="center"/>
          </w:tcPr>
          <w:p>
            <w:pPr>
              <w:widowControl/>
              <w:jc w:val="center"/>
              <w:rPr>
                <w:rFonts w:hint="default" w:ascii="Times New Roman" w:hAnsi="Times New Roman"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39" w:hRule="atLeast"/>
          <w:jc w:val="center"/>
        </w:trPr>
        <w:tc>
          <w:tcPr>
            <w:tcW w:w="421" w:type="dxa"/>
            <w:vMerge w:val="continue"/>
            <w:noWrap w:val="0"/>
            <w:vAlign w:val="center"/>
          </w:tcPr>
          <w:p>
            <w:pPr>
              <w:widowControl/>
              <w:jc w:val="center"/>
              <w:rPr>
                <w:rFonts w:hint="default" w:ascii="Times New Roman" w:hAnsi="Times New Roman" w:cs="Times New Roman"/>
                <w:kern w:val="0"/>
                <w:szCs w:val="21"/>
                <w:highlight w:val="none"/>
              </w:rPr>
            </w:pPr>
          </w:p>
        </w:tc>
        <w:tc>
          <w:tcPr>
            <w:tcW w:w="1275" w:type="dxa"/>
            <w:vMerge w:val="continue"/>
            <w:noWrap w:val="0"/>
            <w:vAlign w:val="center"/>
          </w:tcPr>
          <w:p>
            <w:pPr>
              <w:widowControl/>
              <w:jc w:val="center"/>
              <w:rPr>
                <w:rFonts w:hint="default" w:ascii="Times New Roman" w:hAnsi="Times New Roman" w:cs="Times New Roman"/>
                <w:kern w:val="0"/>
                <w:szCs w:val="21"/>
                <w:highlight w:val="none"/>
              </w:rPr>
            </w:pPr>
          </w:p>
        </w:tc>
        <w:tc>
          <w:tcPr>
            <w:tcW w:w="1429" w:type="dxa"/>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综合信用评价得分</w:t>
            </w:r>
          </w:p>
          <w:p>
            <w:pPr>
              <w:widowControl/>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分</w:t>
            </w:r>
          </w:p>
        </w:tc>
        <w:tc>
          <w:tcPr>
            <w:tcW w:w="5387" w:type="dxa"/>
            <w:noWrap w:val="0"/>
            <w:vAlign w:val="center"/>
          </w:tcPr>
          <w:p>
            <w:pPr>
              <w:widowControl/>
              <w:jc w:val="left"/>
              <w:rPr>
                <w:rFonts w:hint="default" w:ascii="Times New Roman" w:hAnsi="Times New Roman" w:cs="Times New Roman"/>
                <w:bCs/>
                <w:szCs w:val="21"/>
                <w:highlight w:val="none"/>
              </w:rPr>
            </w:pPr>
            <w:r>
              <w:rPr>
                <w:rFonts w:hint="default" w:ascii="Times New Roman" w:hAnsi="Times New Roman" w:cs="Times New Roman"/>
                <w:szCs w:val="21"/>
                <w:highlight w:val="none"/>
              </w:rPr>
              <w:t>以“信用中国”（</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\h </w:instrText>
            </w:r>
            <w:r>
              <w:rPr>
                <w:rFonts w:hint="default" w:ascii="Times New Roman" w:hAnsi="Times New Roman" w:cs="Times New Roman"/>
                <w:highlight w:val="none"/>
              </w:rPr>
              <w:fldChar w:fldCharType="separate"/>
            </w:r>
            <w:r>
              <w:rPr>
                <w:rFonts w:hint="default" w:ascii="Times New Roman" w:hAnsi="Times New Roman" w:cs="Times New Roman"/>
                <w:szCs w:val="21"/>
                <w:highlight w:val="none"/>
              </w:rPr>
              <w:t>www.creditchina.gov.cn</w:t>
            </w:r>
            <w:r>
              <w:rPr>
                <w:rFonts w:hint="default" w:ascii="Times New Roman" w:hAnsi="Times New Roman" w:cs="Times New Roman"/>
                <w:szCs w:val="21"/>
                <w:highlight w:val="none"/>
              </w:rPr>
              <w:fldChar w:fldCharType="end"/>
            </w:r>
            <w:r>
              <w:rPr>
                <w:rFonts w:hint="default" w:ascii="Times New Roman" w:hAnsi="Times New Roman" w:cs="Times New Roman"/>
                <w:szCs w:val="21"/>
                <w:highlight w:val="none"/>
              </w:rPr>
              <w:t>）网站为查询渠道：对列入行政处罚或经营异常的投标人每一条记录扣0.1分，最高扣1分。如查询结果显示没有相关记录，视为没有上述非重大违法违规记录，则不扣分。以</w:t>
            </w:r>
            <w:r>
              <w:rPr>
                <w:rFonts w:hint="default" w:ascii="Times New Roman" w:hAnsi="Times New Roman" w:cs="Times New Roman"/>
                <w:szCs w:val="21"/>
                <w:highlight w:val="none"/>
                <w:lang w:val="en-US" w:eastAsia="zh-CN"/>
              </w:rPr>
              <w:t>评审小组</w:t>
            </w:r>
            <w:r>
              <w:rPr>
                <w:rFonts w:hint="default" w:ascii="Times New Roman" w:hAnsi="Times New Roman" w:cs="Times New Roman"/>
                <w:szCs w:val="21"/>
                <w:highlight w:val="none"/>
              </w:rPr>
              <w:t>于评审时在上述网站查询结果为准，评标委员会应将上述记录查询情况截图存档。注：总公司（总所）投标的，只查询总公司（总所）；分支机构（分所）投标的，只查询该分支机构。</w:t>
            </w:r>
          </w:p>
        </w:tc>
        <w:tc>
          <w:tcPr>
            <w:tcW w:w="1217" w:type="dxa"/>
            <w:noWrap w:val="0"/>
            <w:vAlign w:val="center"/>
          </w:tcPr>
          <w:p>
            <w:pPr>
              <w:widowControl/>
              <w:jc w:val="center"/>
              <w:rPr>
                <w:rFonts w:hint="default" w:ascii="Times New Roman" w:hAnsi="Times New Roman" w:cs="Times New Roman"/>
                <w:kern w:val="0"/>
                <w:szCs w:val="21"/>
                <w:highlight w:val="none"/>
              </w:rPr>
            </w:pPr>
          </w:p>
        </w:tc>
      </w:tr>
    </w:tbl>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FC7E2"/>
    <w:multiLevelType w:val="singleLevel"/>
    <w:tmpl w:val="70CFC7E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70B34"/>
    <w:rsid w:val="6BE7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2025-12-01T04:46:00Z</dcterms:created>
  <dc:creator>罗韵琳</dc:creator>
  <cp:lastModifiedBy>罗韵琳</cp:lastModifiedBy>
  <dcterms:modified xsi:type="dcterms:W3CDTF">2025-12-01T04:46:41Z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