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 xml:space="preserve"> 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报价明细表</w:t>
      </w:r>
      <w:bookmarkEnd w:id="0"/>
    </w:p>
    <w:tbl>
      <w:tblPr>
        <w:tblStyle w:val="3"/>
        <w:tblW w:w="9099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965"/>
        <w:gridCol w:w="4010"/>
        <w:gridCol w:w="2512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服务内容</w:t>
            </w:r>
          </w:p>
        </w:tc>
        <w:tc>
          <w:tcPr>
            <w:tcW w:w="40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质量要求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内容描述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单项收费（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  <w:t>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1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历年文书档案整理</w:t>
            </w:r>
          </w:p>
        </w:tc>
        <w:tc>
          <w:tcPr>
            <w:tcW w:w="4010" w:type="dxa"/>
            <w:noWrap w:val="0"/>
            <w:vAlign w:val="center"/>
          </w:tcPr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符合如下规范：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（1）《档案著录规则》（DA/T 18-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）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（2）《档案装裱技术规范》（DA/T 25-2022）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（3）《纸质归档文件装订规范》（DA/T 69—2018）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 xml:space="preserve">（4）《电子文件归档与管理规范》 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GB/T 18894-2016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（5）《住房公积金业务档案管理标准》JGJ/T495-2022</w:t>
            </w:r>
          </w:p>
          <w:p>
            <w:pPr>
              <w:pStyle w:val="2"/>
              <w:kinsoku/>
              <w:overflowPunct/>
              <w:autoSpaceDE/>
              <w:autoSpaceDN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）《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档号编制规则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DA/T13</w:t>
            </w:r>
          </w:p>
          <w:p>
            <w:pPr>
              <w:pStyle w:val="2"/>
              <w:kinsoku/>
              <w:overflowPunct/>
              <w:autoSpaceDE/>
              <w:autoSpaceDN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（7）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档案著录规则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DA/T18</w:t>
            </w:r>
          </w:p>
          <w:p>
            <w:pPr>
              <w:pStyle w:val="2"/>
              <w:kinsoku/>
              <w:overflowPunct/>
              <w:autoSpaceDE/>
              <w:autoSpaceDN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（8）《归档文件整理规则》DA/T22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）《广州住房公积金管理中心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档案管理办法》（穗公积金中心〔2021〕78号）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）《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广州住房公积金管理中心关于印发档案分类方案、文件材料归档范围和档案保管期限表三合一制度的通知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（穗公积金中心〔202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号）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对文书档案按照国家、行业标准分别对文书档案进行整理，规范开展鉴别、分类、排序、技术加工、编号、打码、装盒和著录等工序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2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spacing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历年文书档案扫描数字化及挂接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电子档案系统</w:t>
            </w:r>
          </w:p>
        </w:tc>
        <w:tc>
          <w:tcPr>
            <w:tcW w:w="4010" w:type="dxa"/>
            <w:noWrap w:val="0"/>
            <w:vAlign w:val="center"/>
          </w:tcPr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符合如下规范：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（1）《纸质档案数字化技术规范》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DA/T 31-2017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（2）《广州住房公积金管理中心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档案管理办法》（穗公积金中心〔2021〕78号）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广州住房公积金管理中心关于印发档案分类方案、文件材料归档范围和档案保管期限表三合一制度的通知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（穗公积金中心〔202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号）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《关于印发&lt;档案数字化外包安全管理规范&gt;的通知》（档办发〔2014〕7 号）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《住房公积金业务档案管理标准》JGJ/T495-2022</w:t>
            </w:r>
          </w:p>
          <w:p>
            <w:pPr>
              <w:widowControl/>
              <w:numPr>
                <w:ilvl w:val="0"/>
                <w:numId w:val="0"/>
              </w:numPr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1.拆卷；2.档案扫描</w:t>
            </w:r>
          </w:p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3.图像处理；4.图像质检；5.数据质检（包括目录、图片与实体档案、信息）；6.档案装订；7.数据挂接；8数据备份；9.总质检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spacing w:line="26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总价</w:t>
            </w:r>
          </w:p>
        </w:tc>
        <w:tc>
          <w:tcPr>
            <w:tcW w:w="76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  <w:lang w:val="en-US" w:eastAsia="zh-CN"/>
              </w:rPr>
              <w:t xml:space="preserve">12000宗案件，共   </w:t>
            </w:r>
            <w:r>
              <w:rPr>
                <w:rFonts w:hint="default" w:ascii="Times New Roman" w:hAnsi="Times New Roman" w:eastAsia="仿宋_GB2312" w:cs="Times New Roman"/>
                <w:kern w:val="0"/>
                <w:highlight w:val="none"/>
              </w:rPr>
              <w:t>元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BA678"/>
    <w:multiLevelType w:val="singleLevel"/>
    <w:tmpl w:val="CD7BA6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9BDCE2"/>
    <w:multiLevelType w:val="singleLevel"/>
    <w:tmpl w:val="F79BDCE2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503B"/>
    <w:rsid w:val="37C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2025-12-01T04:45:00Z</dcterms:created>
  <dc:creator>罗韵琳</dc:creator>
  <cp:lastModifiedBy>罗韵琳</cp:lastModifiedBy>
  <dcterms:modified xsi:type="dcterms:W3CDTF">2025-12-01T04:45:53Z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