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sz w:val="32"/>
          <w:szCs w:val="32"/>
        </w:rPr>
      </w:pPr>
    </w:p>
    <w:p>
      <w:pPr>
        <w:adjustRightInd w:val="0"/>
        <w:snapToGrid w:val="0"/>
        <w:jc w:val="center"/>
        <w:rPr>
          <w:sz w:val="32"/>
          <w:szCs w:val="32"/>
        </w:rPr>
      </w:pPr>
    </w:p>
    <w:p>
      <w:pPr>
        <w:adjustRightInd w:val="0"/>
        <w:snapToGrid w:val="0"/>
        <w:jc w:val="center"/>
        <w:rPr>
          <w:sz w:val="32"/>
          <w:szCs w:val="32"/>
        </w:rPr>
      </w:pPr>
    </w:p>
    <w:p>
      <w:pPr>
        <w:adjustRightInd w:val="0"/>
        <w:snapToGrid w:val="0"/>
        <w:jc w:val="center"/>
        <w:rPr>
          <w:sz w:val="32"/>
          <w:szCs w:val="32"/>
        </w:rPr>
      </w:pPr>
    </w:p>
    <w:p>
      <w:pPr>
        <w:adjustRightInd w:val="0"/>
        <w:snapToGrid w:val="0"/>
        <w:jc w:val="center"/>
        <w:rPr>
          <w:sz w:val="32"/>
          <w:szCs w:val="32"/>
        </w:rPr>
      </w:pPr>
    </w:p>
    <w:p>
      <w:pPr>
        <w:adjustRightInd w:val="0"/>
        <w:snapToGrid w:val="0"/>
        <w:jc w:val="center"/>
        <w:rPr>
          <w:sz w:val="32"/>
          <w:szCs w:val="32"/>
        </w:rPr>
      </w:pPr>
    </w:p>
    <w:p>
      <w:pPr>
        <w:adjustRightInd w:val="0"/>
        <w:snapToGrid w:val="0"/>
        <w:jc w:val="center"/>
        <w:rPr>
          <w:sz w:val="32"/>
          <w:szCs w:val="32"/>
        </w:rPr>
      </w:pPr>
    </w:p>
    <w:p>
      <w:pPr>
        <w:adjustRightInd w:val="0"/>
        <w:snapToGrid w:val="0"/>
        <w:jc w:val="center"/>
        <w:rPr>
          <w:sz w:val="32"/>
          <w:szCs w:val="32"/>
        </w:rPr>
      </w:pPr>
    </w:p>
    <w:p>
      <w:pPr>
        <w:adjustRightInd w:val="0"/>
        <w:snapToGrid w:val="0"/>
        <w:ind w:firstLine="0" w:firstLineChars="0"/>
        <w:jc w:val="center"/>
        <w:rPr>
          <w:sz w:val="36"/>
          <w:szCs w:val="36"/>
        </w:rPr>
      </w:pPr>
      <w:r>
        <w:rPr>
          <w:rFonts w:hint="eastAsia"/>
          <w:sz w:val="36"/>
          <w:szCs w:val="36"/>
        </w:rPr>
        <w:t>广州住房公积金管理中心202</w:t>
      </w:r>
      <w:r>
        <w:rPr>
          <w:rFonts w:hint="eastAsia"/>
          <w:sz w:val="36"/>
          <w:szCs w:val="36"/>
          <w:lang w:val="en-US" w:eastAsia="zh-CN"/>
        </w:rPr>
        <w:t>5</w:t>
      </w:r>
      <w:r>
        <w:rPr>
          <w:rFonts w:hint="eastAsia"/>
          <w:sz w:val="36"/>
          <w:szCs w:val="36"/>
        </w:rPr>
        <w:t>年子系统运维项目</w:t>
      </w:r>
    </w:p>
    <w:p>
      <w:pPr>
        <w:adjustRightInd w:val="0"/>
        <w:snapToGrid w:val="0"/>
        <w:ind w:firstLine="0" w:firstLineChars="0"/>
        <w:jc w:val="center"/>
      </w:pPr>
    </w:p>
    <w:p>
      <w:pPr>
        <w:adjustRightInd w:val="0"/>
        <w:snapToGrid w:val="0"/>
        <w:ind w:firstLine="0" w:firstLineChars="0"/>
        <w:jc w:val="center"/>
      </w:pPr>
    </w:p>
    <w:p>
      <w:pPr>
        <w:adjustRightInd w:val="0"/>
        <w:snapToGrid w:val="0"/>
        <w:ind w:firstLine="0" w:firstLineChars="0"/>
        <w:jc w:val="center"/>
      </w:pPr>
    </w:p>
    <w:p>
      <w:pPr>
        <w:adjustRightInd w:val="0"/>
        <w:snapToGrid w:val="0"/>
        <w:ind w:firstLine="0" w:firstLineChars="0"/>
        <w:jc w:val="center"/>
      </w:pPr>
    </w:p>
    <w:p>
      <w:pPr>
        <w:adjustRightInd w:val="0"/>
        <w:snapToGrid w:val="0"/>
        <w:ind w:firstLine="0" w:firstLineChars="0"/>
        <w:jc w:val="center"/>
        <w:rPr>
          <w:rFonts w:eastAsiaTheme="minorEastAsia"/>
          <w:sz w:val="28"/>
          <w:szCs w:val="28"/>
        </w:rPr>
      </w:pPr>
      <w:r>
        <w:rPr>
          <w:rFonts w:hint="eastAsia"/>
          <w:sz w:val="36"/>
          <w:szCs w:val="36"/>
        </w:rPr>
        <w:t>采购需求</w:t>
      </w:r>
    </w:p>
    <w:p>
      <w:pPr>
        <w:adjustRightInd w:val="0"/>
        <w:snapToGrid w:val="0"/>
        <w:ind w:firstLine="0" w:firstLineChars="0"/>
      </w:pPr>
    </w:p>
    <w:p>
      <w:pPr>
        <w:adjustRightInd w:val="0"/>
        <w:snapToGrid w:val="0"/>
        <w:ind w:firstLine="0" w:firstLineChars="0"/>
      </w:pPr>
    </w:p>
    <w:p>
      <w:pPr>
        <w:adjustRightInd w:val="0"/>
        <w:snapToGrid w:val="0"/>
        <w:ind w:firstLine="0" w:firstLineChars="0"/>
      </w:pPr>
    </w:p>
    <w:p>
      <w:pPr>
        <w:adjustRightInd w:val="0"/>
        <w:snapToGrid w:val="0"/>
        <w:ind w:firstLine="0" w:firstLineChars="0"/>
      </w:pPr>
    </w:p>
    <w:p>
      <w:pPr>
        <w:adjustRightInd w:val="0"/>
        <w:snapToGrid w:val="0"/>
        <w:ind w:firstLine="0" w:firstLineChars="0"/>
      </w:pPr>
    </w:p>
    <w:p>
      <w:pPr>
        <w:adjustRightInd w:val="0"/>
        <w:snapToGrid w:val="0"/>
        <w:ind w:firstLine="0" w:firstLineChars="0"/>
      </w:pPr>
    </w:p>
    <w:p>
      <w:pPr>
        <w:adjustRightInd w:val="0"/>
        <w:snapToGrid w:val="0"/>
        <w:ind w:firstLine="0" w:firstLineChars="0"/>
      </w:pPr>
    </w:p>
    <w:p>
      <w:pPr>
        <w:adjustRightInd w:val="0"/>
        <w:snapToGrid w:val="0"/>
        <w:ind w:firstLine="0" w:firstLineChars="0"/>
      </w:pPr>
    </w:p>
    <w:p>
      <w:pPr>
        <w:adjustRightInd w:val="0"/>
        <w:snapToGrid w:val="0"/>
        <w:ind w:firstLine="0" w:firstLineChars="0"/>
      </w:pPr>
    </w:p>
    <w:p>
      <w:pPr>
        <w:adjustRightInd w:val="0"/>
        <w:snapToGrid w:val="0"/>
        <w:ind w:firstLine="0" w:firstLineChars="0"/>
      </w:pPr>
    </w:p>
    <w:p>
      <w:pPr>
        <w:adjustRightInd w:val="0"/>
        <w:snapToGrid w:val="0"/>
        <w:ind w:firstLine="0" w:firstLineChars="0"/>
      </w:pPr>
    </w:p>
    <w:p>
      <w:pPr>
        <w:adjustRightInd w:val="0"/>
        <w:snapToGrid w:val="0"/>
        <w:ind w:firstLine="0" w:firstLineChars="0"/>
      </w:pPr>
    </w:p>
    <w:p>
      <w:pPr>
        <w:adjustRightInd w:val="0"/>
        <w:snapToGrid w:val="0"/>
        <w:ind w:left="0" w:leftChars="0" w:firstLine="0" w:firstLineChars="0"/>
      </w:pPr>
      <w:r>
        <w:br w:type="page"/>
      </w:r>
    </w:p>
    <w:p>
      <w:pPr>
        <w:pStyle w:val="2"/>
        <w:keepNext w:val="0"/>
        <w:keepLines w:val="0"/>
        <w:adjustRightInd w:val="0"/>
        <w:snapToGrid w:val="0"/>
      </w:pPr>
      <w:r>
        <w:rPr>
          <w:rFonts w:hint="eastAsia"/>
        </w:rPr>
        <w:t xml:space="preserve"> 采购需求</w:t>
      </w:r>
    </w:p>
    <w:p>
      <w:pPr>
        <w:pStyle w:val="3"/>
        <w:ind w:firstLine="562"/>
      </w:pPr>
      <w:r>
        <w:rPr>
          <w:rFonts w:hint="eastAsia"/>
        </w:rPr>
        <w:t>项目概况</w:t>
      </w:r>
    </w:p>
    <w:p>
      <w:pPr>
        <w:ind w:firstLine="480"/>
      </w:pPr>
      <w:r>
        <w:rPr>
          <w:rFonts w:hint="eastAsia"/>
        </w:rPr>
        <w:t>项目名称：广州住房公积金管理中心202</w:t>
      </w:r>
      <w:r>
        <w:rPr>
          <w:rFonts w:hint="eastAsia"/>
          <w:lang w:val="en-US" w:eastAsia="zh-CN"/>
        </w:rPr>
        <w:t>5</w:t>
      </w:r>
      <w:r>
        <w:rPr>
          <w:rFonts w:hint="eastAsia"/>
        </w:rPr>
        <w:t>年子系统运维项目</w:t>
      </w:r>
    </w:p>
    <w:p>
      <w:pPr>
        <w:adjustRightInd w:val="0"/>
        <w:snapToGrid w:val="0"/>
        <w:ind w:firstLine="480"/>
      </w:pPr>
      <w:r>
        <w:rPr>
          <w:rFonts w:hint="eastAsia"/>
        </w:rPr>
        <w:t>项目预算</w:t>
      </w:r>
      <w:r>
        <w:rPr>
          <w:rFonts w:hint="eastAsia" w:ascii="宋体" w:hAnsi="宋体"/>
          <w:lang w:val="zh-CN" w:bidi="en-US"/>
        </w:rPr>
        <w:t>（最高</w:t>
      </w:r>
      <w:r>
        <w:rPr>
          <w:rFonts w:ascii="宋体" w:hAnsi="宋体"/>
          <w:lang w:val="zh-CN" w:bidi="en-US"/>
        </w:rPr>
        <w:t>限价）</w:t>
      </w:r>
      <w:r>
        <w:rPr>
          <w:rFonts w:hint="eastAsia"/>
        </w:rPr>
        <w:t>：</w:t>
      </w:r>
      <w:r>
        <w:rPr>
          <w:rFonts w:hint="eastAsia"/>
          <w:lang w:val="en-US" w:eastAsia="zh-CN"/>
        </w:rPr>
        <w:t>23.0011</w:t>
      </w:r>
      <w:r>
        <w:rPr>
          <w:rFonts w:hint="eastAsia"/>
        </w:rPr>
        <w:t>万元。</w:t>
      </w:r>
    </w:p>
    <w:p>
      <w:pPr>
        <w:adjustRightInd w:val="0"/>
        <w:snapToGrid w:val="0"/>
        <w:ind w:firstLine="480"/>
        <w:rPr>
          <w:rFonts w:hint="eastAsia" w:eastAsia="宋体"/>
          <w:lang w:eastAsia="zh-CN"/>
        </w:rPr>
      </w:pPr>
      <w:r>
        <w:rPr>
          <w:rFonts w:hint="eastAsia"/>
        </w:rPr>
        <w:t>项目周期：珠三角城市住房公积金数据共享平台和手机公积金服务平台运维、穗智管数据分析系统运维、智慧预约系统运维</w:t>
      </w:r>
      <w:r>
        <w:rPr>
          <w:rFonts w:hint="eastAsia"/>
          <w:lang w:eastAsia="zh-CN"/>
        </w:rPr>
        <w:t>、</w:t>
      </w:r>
      <w:r>
        <w:rPr>
          <w:rFonts w:hint="eastAsia"/>
        </w:rPr>
        <w:t>前台外设一体化系统运维项目周期为合同签订后12个月</w:t>
      </w:r>
      <w:r>
        <w:rPr>
          <w:rFonts w:hint="eastAsia"/>
          <w:lang w:eastAsia="zh-CN"/>
        </w:rPr>
        <w:t>。</w:t>
      </w:r>
    </w:p>
    <w:p>
      <w:pPr>
        <w:pStyle w:val="3"/>
        <w:ind w:firstLine="562"/>
      </w:pPr>
      <w:r>
        <w:rPr>
          <w:rFonts w:hint="eastAsia"/>
        </w:rPr>
        <w:t>系统概况</w:t>
      </w:r>
    </w:p>
    <w:p>
      <w:pPr>
        <w:ind w:firstLine="480"/>
      </w:pPr>
      <w:r>
        <w:rPr>
          <w:rFonts w:hint="eastAsia"/>
        </w:rPr>
        <w:t>广州住房公积金综合业务系统为面向全广州超过12万个单位、700余万职工办理住房公积金开户、缴存、提取、贷款等业务，记载单位、职工住房公积金缴存、提取、贷款等信息和提供相关查询服务的实时性生产系统，其业务量等同于中等规模的股份制商业银行。</w:t>
      </w:r>
    </w:p>
    <w:p>
      <w:pPr>
        <w:ind w:firstLine="480"/>
      </w:pPr>
      <w:r>
        <w:rPr>
          <w:rFonts w:hint="eastAsia"/>
        </w:rPr>
        <w:t>高效、可靠、稳定的系统运行才能使得中心业务人员更好的服务于社会，服务于广大人民群众。通过实施住房公积金管理系统运维服务项目，建立系统保障团队，及时解决系统运行过程中出现的各种突发事件，有利于提高前台业务人员的工作效率，提高公众服务满意度，树立政府的服务形象。</w:t>
      </w:r>
    </w:p>
    <w:p>
      <w:pPr>
        <w:ind w:firstLine="480"/>
      </w:pPr>
      <w:bookmarkStart w:id="0" w:name="_Toc66978300"/>
      <w:r>
        <w:rPr>
          <w:rFonts w:hint="eastAsia"/>
        </w:rPr>
        <w:t>系统简介</w:t>
      </w:r>
      <w:bookmarkEnd w:id="0"/>
      <w:r>
        <w:rPr>
          <w:rFonts w:hint="eastAsia"/>
        </w:rPr>
        <w:t>：</w:t>
      </w:r>
    </w:p>
    <w:p>
      <w:pPr>
        <w:ind w:firstLine="480"/>
      </w:pPr>
      <w:r>
        <w:rPr>
          <w:rFonts w:hint="eastAsia"/>
        </w:rPr>
        <w:t>本次项目涉及的系统包括珠三角城市住房公积金数据共享平台和手机公积金服务平台、智慧预约系统、穗智管数据分析系统、前台外设一体化系统，简介如下：</w:t>
      </w:r>
    </w:p>
    <w:p>
      <w:pPr>
        <w:ind w:firstLine="480"/>
      </w:pPr>
      <w:r>
        <w:rPr>
          <w:rFonts w:hint="eastAsia"/>
        </w:rPr>
        <w:t>1.珠三角城市住房公积金数据共享平台和手机公积金服务平台</w:t>
      </w:r>
    </w:p>
    <w:p>
      <w:pPr>
        <w:ind w:firstLine="480"/>
      </w:pPr>
      <w:r>
        <w:rPr>
          <w:rFonts w:hint="eastAsia"/>
        </w:rPr>
        <w:t>为省区域统一的手机端服务入口平台，接入省公积金监管部门、珠三角地市公积金管理中心的服务内容，提供区域珠三角公积金政务服务一站式体验。</w:t>
      </w:r>
    </w:p>
    <w:p>
      <w:pPr>
        <w:ind w:firstLine="480"/>
      </w:pPr>
      <w:r>
        <w:rPr>
          <w:rFonts w:hint="eastAsia"/>
        </w:rPr>
        <w:t>2.智慧预约系统</w:t>
      </w:r>
    </w:p>
    <w:p>
      <w:pPr>
        <w:ind w:firstLine="480"/>
      </w:pPr>
      <w:r>
        <w:rPr>
          <w:rFonts w:hint="eastAsia"/>
        </w:rPr>
        <w:t>通过网上预约门户及预约管理系统、排队叫号系统，实现线上线下13个管理部和办事处进行统一预约和排队叫号管理，实现各大厅预约、排队叫号的无差别服务。</w:t>
      </w:r>
    </w:p>
    <w:p>
      <w:pPr>
        <w:ind w:firstLine="480"/>
      </w:pPr>
      <w:r>
        <w:rPr>
          <w:rFonts w:hint="eastAsia"/>
        </w:rPr>
        <w:t>3.穗智管数据分析系统</w:t>
      </w:r>
    </w:p>
    <w:p>
      <w:pPr>
        <w:ind w:firstLine="480"/>
      </w:pPr>
      <w:r>
        <w:rPr>
          <w:rFonts w:hint="eastAsia"/>
        </w:rPr>
        <w:t>主要包含数据展示+后台管理+对外接口服务3大部分：</w:t>
      </w:r>
    </w:p>
    <w:p>
      <w:pPr>
        <w:ind w:firstLine="480"/>
      </w:pPr>
      <w:r>
        <w:rPr>
          <w:rFonts w:hint="eastAsia"/>
        </w:rPr>
        <w:t xml:space="preserve">（1）数据展示，包含各类业务的重点指标，以及按照时间、区域分布、不同业务的统计类型等观测维度进行数据分析展示； </w:t>
      </w:r>
    </w:p>
    <w:p>
      <w:pPr>
        <w:ind w:firstLine="480"/>
      </w:pPr>
      <w:r>
        <w:rPr>
          <w:rFonts w:hint="eastAsia"/>
        </w:rPr>
        <w:t>（2）后台管理，包含用户管理、操作日志管理、接口日志统计等系统功能。</w:t>
      </w:r>
    </w:p>
    <w:p>
      <w:pPr>
        <w:ind w:firstLine="480"/>
      </w:pPr>
      <w:r>
        <w:rPr>
          <w:rFonts w:hint="eastAsia"/>
        </w:rPr>
        <w:t>（3）对外接口服务，依据穗智管要求内容，提供接口服务将数据输出。</w:t>
      </w:r>
    </w:p>
    <w:p>
      <w:pPr>
        <w:ind w:firstLine="480"/>
      </w:pPr>
      <w:r>
        <w:rPr>
          <w:rFonts w:hint="eastAsia"/>
        </w:rPr>
        <w:t>4.前台外设一体化系统运维</w:t>
      </w:r>
    </w:p>
    <w:p>
      <w:pPr>
        <w:ind w:firstLine="480"/>
      </w:pPr>
      <w:r>
        <w:rPr>
          <w:rFonts w:hint="eastAsia"/>
        </w:rPr>
        <w:t>主要包含对130台前台外设一体化终端系统的运维。前台外设一体化终端将广州公积金管理中心大厅前台办理业务的高拍仪、摄像头、扫描仪等等多种设备功能集成于一体，与中心业务系统兼容，通过前台外设一体化终端设备承载，实现业务办理流程简单、轻松、高效，提高广州住房公积金管理中心前台的服务水平。</w:t>
      </w:r>
    </w:p>
    <w:p>
      <w:pPr>
        <w:pStyle w:val="3"/>
        <w:ind w:firstLine="562"/>
      </w:pPr>
      <w:r>
        <w:rPr>
          <w:rFonts w:hint="eastAsia"/>
        </w:rPr>
        <w:t>服务目标</w:t>
      </w:r>
    </w:p>
    <w:p>
      <w:pPr>
        <w:ind w:firstLine="480"/>
      </w:pPr>
      <w:r>
        <w:rPr>
          <w:rFonts w:hint="eastAsia"/>
        </w:rPr>
        <w:t>1.制定运维服务质量目标</w:t>
      </w:r>
    </w:p>
    <w:p>
      <w:pPr>
        <w:ind w:firstLine="480"/>
      </w:pPr>
      <w:r>
        <w:rPr>
          <w:rFonts w:hint="eastAsia"/>
        </w:rPr>
        <w:t>运维服务的内容、要求、服务响应是基本需求，要保证基本需求能够高质量的实现，必须制定相应的服务质量目标。运维服务质量目标是评估运维服务质量高低的标准，是运维服务工作定期总结中必须分析的数据，通过运维服务质量的趋势分析，可以为中心的运维服务管理工作改进提供决策依据。</w:t>
      </w:r>
    </w:p>
    <w:p>
      <w:pPr>
        <w:ind w:firstLine="480"/>
      </w:pPr>
      <w:r>
        <w:rPr>
          <w:rFonts w:hint="eastAsia"/>
        </w:rPr>
        <w:t>2.建立有效运维服务形式</w:t>
      </w:r>
    </w:p>
    <w:p>
      <w:pPr>
        <w:ind w:firstLine="480"/>
      </w:pPr>
      <w:r>
        <w:rPr>
          <w:rFonts w:hint="eastAsia"/>
        </w:rPr>
        <w:t>为了保证各种服务内容、要求，能够得到及时的响应，必须建立各种有效的服务形式，如电话支持、远程支持、现场支持等，且多种服务形式相结合，为中心提供全方位的技术支持。</w:t>
      </w:r>
    </w:p>
    <w:p>
      <w:pPr>
        <w:ind w:firstLine="480"/>
      </w:pPr>
      <w:r>
        <w:rPr>
          <w:rFonts w:hint="eastAsia"/>
        </w:rPr>
        <w:t>3.明确服务内容及要求</w:t>
      </w:r>
    </w:p>
    <w:p>
      <w:pPr>
        <w:ind w:firstLine="480"/>
      </w:pPr>
      <w:r>
        <w:rPr>
          <w:rFonts w:hint="eastAsia"/>
        </w:rPr>
        <w:t>本项目的运维内容包括日常维护、定期巡检、故障处理、系统安全服务、应急保障、备品备件等多个方面。</w:t>
      </w:r>
    </w:p>
    <w:p>
      <w:pPr>
        <w:ind w:firstLine="480"/>
      </w:pPr>
      <w:r>
        <w:rPr>
          <w:rFonts w:hint="eastAsia"/>
        </w:rPr>
        <w:t>4.完善运维服务管理流程</w:t>
      </w:r>
    </w:p>
    <w:p>
      <w:pPr>
        <w:ind w:firstLine="480"/>
      </w:pPr>
      <w:r>
        <w:rPr>
          <w:rFonts w:hint="eastAsia"/>
        </w:rPr>
        <w:t>没有任何一个运维服务管理流程是固定不变的，流程的完善是一个不断实施、检查、改进的过程，它贯穿于运维服务管理的整个生命周期中，同时运维管理流程的本地化及成熟度提高也是一个漫长的实践、认识螺旋式上升的过程。要求投标人能借鉴ITIL标准，但不是仅仅照搬ITIL标准，必须在运维过程中不断完善事件管理、问题管理、变更管理、发布管理、配置管理等服务支持流程。</w:t>
      </w:r>
    </w:p>
    <w:p>
      <w:pPr>
        <w:ind w:firstLine="480"/>
      </w:pPr>
      <w:r>
        <w:br w:type="page"/>
      </w:r>
    </w:p>
    <w:p>
      <w:pPr>
        <w:pStyle w:val="3"/>
        <w:ind w:firstLine="562"/>
      </w:pPr>
      <w:r>
        <w:rPr>
          <w:rFonts w:hint="eastAsia"/>
        </w:rPr>
        <w:t>运维服务内容</w:t>
      </w:r>
    </w:p>
    <w:p>
      <w:pPr>
        <w:pStyle w:val="4"/>
        <w:ind w:firstLine="562"/>
      </w:pPr>
      <w:r>
        <w:rPr>
          <w:rFonts w:hint="eastAsia"/>
        </w:rPr>
        <w:t>珠三角城市住房公积金数据共享平台和手机公积金服务平台运维</w:t>
      </w:r>
    </w:p>
    <w:p>
      <w:pPr>
        <w:ind w:firstLine="0" w:firstLineChars="0"/>
        <w:jc w:val="center"/>
        <w:rPr>
          <w:rFonts w:ascii="宋体" w:hAnsi="宋体" w:cs="仿宋_GB2312"/>
        </w:rPr>
      </w:pPr>
      <w:r>
        <w:rPr>
          <w:rFonts w:hint="eastAsia" w:ascii="宋体" w:hAnsi="宋体" w:cs="仿宋_GB2312"/>
        </w:rPr>
        <w:t>珠三角城市住房公积金数据共享平台和手机公积金服务平台运维需求表</w:t>
      </w:r>
    </w:p>
    <w:tbl>
      <w:tblPr>
        <w:tblStyle w:val="1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31"/>
        <w:gridCol w:w="1331"/>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序号</w:t>
            </w:r>
          </w:p>
        </w:tc>
        <w:tc>
          <w:tcPr>
            <w:tcW w:w="831"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类别名称</w:t>
            </w:r>
          </w:p>
        </w:tc>
        <w:tc>
          <w:tcPr>
            <w:tcW w:w="1331" w:type="dxa"/>
            <w:shd w:val="clear" w:color="auto" w:fill="auto"/>
            <w:vAlign w:val="center"/>
          </w:tcPr>
          <w:p>
            <w:pPr>
              <w:widowControl/>
              <w:adjustRightInd/>
              <w:snapToGrid/>
              <w:spacing w:line="240" w:lineRule="auto"/>
              <w:ind w:firstLine="0" w:firstLineChars="0"/>
              <w:jc w:val="center"/>
              <w:rPr>
                <w:rFonts w:hint="eastAsia" w:ascii="仿宋_GB2312" w:hAnsi="宋体" w:cs="宋体"/>
                <w:color w:val="000000"/>
                <w:kern w:val="0"/>
                <w:szCs w:val="24"/>
              </w:rPr>
            </w:pPr>
            <w:r>
              <w:rPr>
                <w:rFonts w:hint="eastAsia" w:ascii="仿宋_GB2312" w:hAnsi="宋体" w:cs="宋体"/>
                <w:color w:val="000000"/>
                <w:kern w:val="0"/>
                <w:szCs w:val="24"/>
                <w:lang w:val="en-US" w:eastAsia="zh-CN"/>
              </w:rPr>
              <w:t>服务内容</w:t>
            </w:r>
          </w:p>
        </w:tc>
        <w:tc>
          <w:tcPr>
            <w:tcW w:w="5901"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工作内容及要求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1</w:t>
            </w:r>
          </w:p>
        </w:tc>
        <w:tc>
          <w:tcPr>
            <w:tcW w:w="831" w:type="dxa"/>
            <w:vMerge w:val="restart"/>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日常维护服务</w:t>
            </w:r>
          </w:p>
        </w:tc>
        <w:tc>
          <w:tcPr>
            <w:tcW w:w="1331" w:type="dxa"/>
            <w:shd w:val="clear" w:color="auto" w:fill="auto"/>
            <w:vAlign w:val="center"/>
          </w:tcPr>
          <w:p>
            <w:pPr>
              <w:widowControl/>
              <w:adjustRightInd/>
              <w:snapToGrid/>
              <w:spacing w:line="240" w:lineRule="auto"/>
              <w:ind w:firstLine="0" w:firstLineChars="0"/>
              <w:jc w:val="left"/>
              <w:rPr>
                <w:rFonts w:hint="default" w:ascii="仿宋_GB2312" w:hAnsi="宋体" w:eastAsia="宋体" w:cs="宋体"/>
                <w:color w:val="000000"/>
                <w:kern w:val="0"/>
                <w:szCs w:val="24"/>
                <w:lang w:val="en-US" w:eastAsia="zh-CN"/>
              </w:rPr>
            </w:pPr>
            <w:r>
              <w:rPr>
                <w:rFonts w:hint="eastAsia" w:ascii="仿宋_GB2312" w:hAnsi="宋体" w:cs="宋体"/>
                <w:color w:val="000000"/>
                <w:kern w:val="0"/>
                <w:szCs w:val="24"/>
              </w:rPr>
              <w:t>日常检查</w:t>
            </w:r>
          </w:p>
        </w:tc>
        <w:tc>
          <w:tcPr>
            <w:tcW w:w="5901"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1、共享平台接口巡检：涉及中心9个接口巡检，确保服务稳定性。异地信息4个接口，包括异地贷款缴存证明、异地贷款证明回执、异地公积金贷款信息查询、异地转移接续查询。信息共享4个接口：单位公积金缴存信息查询、违规信息查询、企业信用报告查询、可办理住房公积金贷款额度查询。全国小程序对接1个接口：异地转移接续转入信息接收。</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2</w:t>
            </w:r>
            <w:r>
              <w:rPr>
                <w:rFonts w:hint="eastAsia" w:ascii="仿宋_GB2312" w:hAnsi="宋体" w:cs="宋体"/>
                <w:color w:val="000000"/>
                <w:kern w:val="0"/>
                <w:szCs w:val="24"/>
                <w:lang w:eastAsia="zh-CN"/>
              </w:rPr>
              <w:t>、</w:t>
            </w:r>
            <w:r>
              <w:rPr>
                <w:rFonts w:hint="eastAsia" w:ascii="仿宋_GB2312" w:hAnsi="宋体" w:cs="宋体"/>
                <w:color w:val="000000"/>
                <w:kern w:val="0"/>
                <w:szCs w:val="24"/>
              </w:rPr>
              <w:t>业务巡检：涉及中心接入小程序共计39个业务事项巡检，确保服务稳定性。包括8个提取业务，11个个人缴存业务，8个缴存业务，2个预约业务，9个查询业务，1个个人基本信息设置业务，涉及中心176个业务系统接口、31个预约系统接口。</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3、每日例行核查共享平台接口、微信小程序业务提交数据统计增量情况。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2</w:t>
            </w:r>
          </w:p>
        </w:tc>
        <w:tc>
          <w:tcPr>
            <w:tcW w:w="831"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331" w:type="dxa"/>
            <w:shd w:val="clear" w:color="auto" w:fill="auto"/>
            <w:vAlign w:val="center"/>
          </w:tcPr>
          <w:p>
            <w:pPr>
              <w:widowControl/>
              <w:adjustRightInd/>
              <w:snapToGrid/>
              <w:spacing w:line="240" w:lineRule="auto"/>
              <w:ind w:firstLine="0" w:firstLineChars="0"/>
              <w:jc w:val="left"/>
              <w:rPr>
                <w:rFonts w:hint="eastAsia" w:ascii="仿宋_GB2312" w:hAnsi="宋体" w:cs="宋体"/>
                <w:color w:val="000000"/>
                <w:kern w:val="0"/>
                <w:szCs w:val="24"/>
              </w:rPr>
            </w:pPr>
            <w:r>
              <w:rPr>
                <w:rFonts w:hint="eastAsia" w:ascii="仿宋_GB2312" w:hAnsi="宋体" w:cs="宋体"/>
                <w:color w:val="000000"/>
                <w:kern w:val="0"/>
                <w:szCs w:val="24"/>
              </w:rPr>
              <w:t>运维事件处理</w:t>
            </w:r>
          </w:p>
        </w:tc>
        <w:tc>
          <w:tcPr>
            <w:tcW w:w="5901"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根据运维工单所登记的系统事件问题进行实时响应和处理，以及时解决问题和实时登记处理的过程结果，避免潜在风险。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3</w:t>
            </w:r>
          </w:p>
        </w:tc>
        <w:tc>
          <w:tcPr>
            <w:tcW w:w="831"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331" w:type="dxa"/>
            <w:shd w:val="clear" w:color="auto" w:fill="auto"/>
            <w:vAlign w:val="center"/>
          </w:tcPr>
          <w:p>
            <w:pPr>
              <w:widowControl/>
              <w:adjustRightInd/>
              <w:snapToGrid/>
              <w:spacing w:line="240" w:lineRule="auto"/>
              <w:ind w:firstLine="0" w:firstLineChars="0"/>
              <w:jc w:val="left"/>
              <w:rPr>
                <w:rFonts w:hint="eastAsia" w:ascii="仿宋_GB2312" w:hAnsi="宋体" w:cs="宋体"/>
                <w:color w:val="000000"/>
                <w:kern w:val="0"/>
                <w:szCs w:val="24"/>
              </w:rPr>
            </w:pPr>
            <w:r>
              <w:rPr>
                <w:rFonts w:hint="eastAsia" w:ascii="仿宋_GB2312" w:hAnsi="宋体" w:cs="宋体"/>
                <w:color w:val="000000"/>
                <w:kern w:val="0"/>
                <w:szCs w:val="24"/>
              </w:rPr>
              <w:t>发布管理</w:t>
            </w:r>
          </w:p>
        </w:tc>
        <w:tc>
          <w:tcPr>
            <w:tcW w:w="5901"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根据应用系统发布管理流程，进行代码升级迭代，检查差异性并做好源码和运行文件迭代维护工作，迭代记录归档及编写版本发布说明。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4</w:t>
            </w:r>
          </w:p>
        </w:tc>
        <w:tc>
          <w:tcPr>
            <w:tcW w:w="831"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331" w:type="dxa"/>
            <w:shd w:val="clear" w:color="auto" w:fill="auto"/>
            <w:vAlign w:val="center"/>
          </w:tcPr>
          <w:p>
            <w:pPr>
              <w:widowControl/>
              <w:adjustRightInd/>
              <w:snapToGrid/>
              <w:spacing w:line="240" w:lineRule="auto"/>
              <w:ind w:firstLine="0" w:firstLineChars="0"/>
              <w:jc w:val="left"/>
              <w:rPr>
                <w:rFonts w:hint="eastAsia" w:ascii="仿宋_GB2312" w:hAnsi="宋体" w:cs="宋体"/>
                <w:color w:val="000000"/>
                <w:kern w:val="0"/>
                <w:szCs w:val="24"/>
              </w:rPr>
            </w:pPr>
            <w:r>
              <w:rPr>
                <w:rFonts w:hint="eastAsia" w:ascii="仿宋_GB2312" w:hAnsi="宋体" w:cs="宋体"/>
                <w:color w:val="000000"/>
                <w:kern w:val="0"/>
                <w:szCs w:val="24"/>
              </w:rPr>
              <w:t>数据分析处理</w:t>
            </w:r>
          </w:p>
        </w:tc>
        <w:tc>
          <w:tcPr>
            <w:tcW w:w="5901"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1、日常业务运行进程状况以及登录状态检查；</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2、收集中心共享平台接口、微信小程序业务问题并分析业务运行日志排查接口调用情况；</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3、日常业务数据问题处理结果归档。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5</w:t>
            </w:r>
          </w:p>
        </w:tc>
        <w:tc>
          <w:tcPr>
            <w:tcW w:w="831"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331" w:type="dxa"/>
            <w:shd w:val="clear" w:color="auto" w:fill="auto"/>
            <w:vAlign w:val="center"/>
          </w:tcPr>
          <w:p>
            <w:pPr>
              <w:widowControl/>
              <w:adjustRightInd/>
              <w:snapToGrid/>
              <w:spacing w:line="240" w:lineRule="auto"/>
              <w:ind w:firstLine="0" w:firstLineChars="0"/>
              <w:jc w:val="left"/>
              <w:rPr>
                <w:rFonts w:hint="eastAsia" w:ascii="仿宋_GB2312" w:hAnsi="宋体" w:cs="宋体"/>
                <w:color w:val="000000"/>
                <w:kern w:val="0"/>
                <w:szCs w:val="24"/>
              </w:rPr>
            </w:pPr>
            <w:r>
              <w:rPr>
                <w:rFonts w:hint="eastAsia" w:ascii="仿宋_GB2312" w:hAnsi="宋体" w:cs="宋体"/>
                <w:color w:val="000000"/>
                <w:kern w:val="0"/>
                <w:szCs w:val="24"/>
              </w:rPr>
              <w:t>需求调研分析管理</w:t>
            </w:r>
          </w:p>
        </w:tc>
        <w:tc>
          <w:tcPr>
            <w:tcW w:w="5901"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1、收集记录涉及共享平台接口需求、涉及微信小程序中心业务优化及新增业务需求问题并归档；</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2、竞品分析需求汇总；</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3、用户调研需求收集。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6</w:t>
            </w:r>
          </w:p>
        </w:tc>
        <w:tc>
          <w:tcPr>
            <w:tcW w:w="831"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331" w:type="dxa"/>
            <w:shd w:val="clear" w:color="auto" w:fill="auto"/>
            <w:vAlign w:val="center"/>
          </w:tcPr>
          <w:p>
            <w:pPr>
              <w:widowControl/>
              <w:adjustRightInd/>
              <w:snapToGrid/>
              <w:spacing w:line="240" w:lineRule="auto"/>
              <w:ind w:firstLine="0" w:firstLineChars="0"/>
              <w:jc w:val="left"/>
              <w:rPr>
                <w:rFonts w:hint="eastAsia" w:ascii="仿宋_GB2312" w:hAnsi="宋体" w:cs="宋体"/>
                <w:color w:val="000000"/>
                <w:kern w:val="0"/>
                <w:szCs w:val="24"/>
              </w:rPr>
            </w:pPr>
            <w:r>
              <w:rPr>
                <w:rFonts w:hint="eastAsia" w:ascii="仿宋_GB2312" w:hAnsi="宋体" w:cs="宋体"/>
                <w:color w:val="000000"/>
                <w:kern w:val="0"/>
                <w:szCs w:val="24"/>
              </w:rPr>
              <w:t>日志分析</w:t>
            </w:r>
          </w:p>
        </w:tc>
        <w:tc>
          <w:tcPr>
            <w:tcW w:w="5901"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根据应用服务运行所产生的日志进行分析，及时发现系统异常情况并进行系统优化和处理。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7</w:t>
            </w:r>
          </w:p>
        </w:tc>
        <w:tc>
          <w:tcPr>
            <w:tcW w:w="831"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331" w:type="dxa"/>
            <w:shd w:val="clear" w:color="auto" w:fill="auto"/>
            <w:vAlign w:val="center"/>
          </w:tcPr>
          <w:p>
            <w:pPr>
              <w:widowControl/>
              <w:adjustRightInd/>
              <w:snapToGrid/>
              <w:spacing w:line="240" w:lineRule="auto"/>
              <w:ind w:firstLine="0" w:firstLineChars="0"/>
              <w:jc w:val="left"/>
              <w:rPr>
                <w:rFonts w:hint="eastAsia" w:ascii="仿宋_GB2312" w:hAnsi="宋体" w:cs="宋体"/>
                <w:color w:val="000000"/>
                <w:kern w:val="0"/>
                <w:szCs w:val="24"/>
              </w:rPr>
            </w:pPr>
            <w:r>
              <w:rPr>
                <w:rFonts w:hint="eastAsia" w:ascii="仿宋_GB2312" w:hAnsi="宋体" w:cs="宋体"/>
                <w:color w:val="000000"/>
                <w:kern w:val="0"/>
                <w:szCs w:val="24"/>
              </w:rPr>
              <w:t>重大活动及节假日值守</w:t>
            </w:r>
          </w:p>
        </w:tc>
        <w:tc>
          <w:tcPr>
            <w:tcW w:w="5901"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为加强中心网络安全体系建设，确保专项工作安全有序开展，在重大攻防演练活动和重大节假日，如粤盾等进行7*24小时安全值守工作。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8</w:t>
            </w:r>
          </w:p>
        </w:tc>
        <w:tc>
          <w:tcPr>
            <w:tcW w:w="831"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331" w:type="dxa"/>
            <w:shd w:val="clear" w:color="auto" w:fill="auto"/>
            <w:vAlign w:val="center"/>
          </w:tcPr>
          <w:p>
            <w:pPr>
              <w:widowControl/>
              <w:adjustRightInd/>
              <w:snapToGrid/>
              <w:spacing w:line="240" w:lineRule="auto"/>
              <w:ind w:firstLine="0" w:firstLineChars="0"/>
              <w:jc w:val="left"/>
              <w:rPr>
                <w:rFonts w:hint="eastAsia" w:ascii="仿宋_GB2312" w:hAnsi="宋体" w:cs="宋体"/>
                <w:color w:val="000000"/>
                <w:kern w:val="0"/>
                <w:szCs w:val="24"/>
              </w:rPr>
            </w:pPr>
            <w:r>
              <w:rPr>
                <w:rFonts w:hint="eastAsia" w:ascii="仿宋_GB2312" w:hAnsi="宋体" w:cs="宋体"/>
                <w:color w:val="000000"/>
                <w:kern w:val="0"/>
                <w:szCs w:val="24"/>
              </w:rPr>
              <w:t>安全管理</w:t>
            </w:r>
          </w:p>
        </w:tc>
        <w:tc>
          <w:tcPr>
            <w:tcW w:w="5901"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根据上级部门或者安全维护公司所提出的安全问题制定并执行安全策略，保护应用软件系统的安全，防止恶意攻击和数据泄露。</w:t>
            </w:r>
          </w:p>
        </w:tc>
      </w:tr>
    </w:tbl>
    <w:p>
      <w:pPr>
        <w:ind w:firstLine="480"/>
      </w:pPr>
    </w:p>
    <w:p>
      <w:pPr>
        <w:ind w:firstLine="480"/>
      </w:pPr>
      <w:r>
        <w:br w:type="page"/>
      </w:r>
    </w:p>
    <w:p>
      <w:pPr>
        <w:pStyle w:val="4"/>
        <w:ind w:firstLine="562"/>
      </w:pPr>
      <w:r>
        <w:rPr>
          <w:rFonts w:hint="eastAsia"/>
        </w:rPr>
        <w:t>智慧预约系统运维</w:t>
      </w:r>
    </w:p>
    <w:p>
      <w:pPr>
        <w:ind w:firstLine="480"/>
        <w:jc w:val="center"/>
        <w:rPr>
          <w:rFonts w:ascii="黑体" w:hAnsi="黑体" w:eastAsia="黑体" w:cs="仿宋_GB2312"/>
        </w:rPr>
      </w:pPr>
      <w:r>
        <w:rPr>
          <w:rFonts w:hint="eastAsia" w:ascii="黑体" w:hAnsi="黑体" w:eastAsia="黑体" w:cs="仿宋_GB2312"/>
        </w:rPr>
        <w:t>智慧预约系统软件运维需求表</w:t>
      </w:r>
    </w:p>
    <w:tbl>
      <w:tblPr>
        <w:tblStyle w:val="1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769"/>
        <w:gridCol w:w="1319"/>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50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序号</w:t>
            </w:r>
          </w:p>
        </w:tc>
        <w:tc>
          <w:tcPr>
            <w:tcW w:w="769"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类别名称</w:t>
            </w:r>
          </w:p>
        </w:tc>
        <w:tc>
          <w:tcPr>
            <w:tcW w:w="1319" w:type="dxa"/>
            <w:shd w:val="clear" w:color="auto" w:fill="auto"/>
            <w:vAlign w:val="center"/>
          </w:tcPr>
          <w:p>
            <w:pPr>
              <w:widowControl/>
              <w:adjustRightInd/>
              <w:snapToGrid/>
              <w:spacing w:line="240" w:lineRule="auto"/>
              <w:ind w:firstLine="0" w:firstLineChars="0"/>
              <w:jc w:val="center"/>
              <w:rPr>
                <w:rFonts w:hint="eastAsia" w:ascii="仿宋_GB2312" w:hAnsi="宋体" w:eastAsia="宋体" w:cs="宋体"/>
                <w:color w:val="000000"/>
                <w:kern w:val="0"/>
                <w:szCs w:val="24"/>
                <w:lang w:val="en-US" w:eastAsia="zh-CN"/>
              </w:rPr>
            </w:pPr>
            <w:r>
              <w:rPr>
                <w:rFonts w:hint="eastAsia" w:ascii="仿宋_GB2312" w:hAnsi="宋体" w:cs="宋体"/>
                <w:color w:val="000000"/>
                <w:kern w:val="0"/>
                <w:szCs w:val="24"/>
                <w:lang w:val="en-US" w:eastAsia="zh-CN"/>
              </w:rPr>
              <w:t>服务内容</w:t>
            </w:r>
          </w:p>
        </w:tc>
        <w:tc>
          <w:tcPr>
            <w:tcW w:w="5925"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工作内容及要求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0" w:hRule="atLeast"/>
        </w:trPr>
        <w:tc>
          <w:tcPr>
            <w:tcW w:w="50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1</w:t>
            </w:r>
          </w:p>
        </w:tc>
        <w:tc>
          <w:tcPr>
            <w:tcW w:w="769" w:type="dxa"/>
            <w:vMerge w:val="restart"/>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日常维护服务</w:t>
            </w:r>
          </w:p>
        </w:tc>
        <w:tc>
          <w:tcPr>
            <w:tcW w:w="1319" w:type="dxa"/>
            <w:shd w:val="clear" w:color="auto" w:fill="auto"/>
            <w:vAlign w:val="center"/>
          </w:tcPr>
          <w:p>
            <w:pPr>
              <w:widowControl/>
              <w:adjustRightInd/>
              <w:snapToGrid/>
              <w:spacing w:line="240" w:lineRule="auto"/>
              <w:ind w:firstLine="0" w:firstLineChars="0"/>
              <w:jc w:val="left"/>
              <w:rPr>
                <w:rFonts w:hint="eastAsia" w:ascii="仿宋_GB2312" w:hAnsi="宋体" w:cs="宋体"/>
                <w:color w:val="000000"/>
                <w:kern w:val="0"/>
                <w:szCs w:val="24"/>
              </w:rPr>
            </w:pPr>
            <w:r>
              <w:rPr>
                <w:rFonts w:hint="eastAsia" w:ascii="仿宋_GB2312" w:hAnsi="宋体" w:cs="宋体"/>
                <w:color w:val="000000"/>
                <w:kern w:val="0"/>
                <w:szCs w:val="24"/>
              </w:rPr>
              <w:t>智慧预约系统日常巡检</w:t>
            </w:r>
          </w:p>
        </w:tc>
        <w:tc>
          <w:tcPr>
            <w:tcW w:w="5925"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检查智慧预约系统服务器是否正常；</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检查智慧预约系统程序及中间件运行是否正常；</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检查智慧预约系统数据备份是否异常；</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智慧预约系统应用日常巡检：</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对13个管理部的日常问题工单进行排查分析处理；对13个管理部职工客户的咨询进行解答反馈。</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发现故障并对其进行及时处理，以确保系统的稳定运行。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0" w:hRule="atLeast"/>
        </w:trPr>
        <w:tc>
          <w:tcPr>
            <w:tcW w:w="50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2</w:t>
            </w:r>
          </w:p>
        </w:tc>
        <w:tc>
          <w:tcPr>
            <w:tcW w:w="769"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319"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Bug处理</w:t>
            </w:r>
          </w:p>
        </w:tc>
        <w:tc>
          <w:tcPr>
            <w:tcW w:w="5925"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对应用系统产生的bug进行需求分析，开发分析、测试验证等系统修复处理；</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补丁升级：</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对系统证书进行优化、补丁升级；</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系统故障处理：</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检测及排除、错误分析及统计；</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对每个月的系统漏洞进行整改处理。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50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3</w:t>
            </w:r>
          </w:p>
        </w:tc>
        <w:tc>
          <w:tcPr>
            <w:tcW w:w="769"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319"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智慧预约系统运维事件处理</w:t>
            </w:r>
          </w:p>
        </w:tc>
        <w:tc>
          <w:tcPr>
            <w:tcW w:w="5925"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根据运维工单所登记的系统事件问题进行实时响应和处理，以及时解决问题和实时登记处理的过程结果，避免潜在风险。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50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4</w:t>
            </w:r>
          </w:p>
        </w:tc>
        <w:tc>
          <w:tcPr>
            <w:tcW w:w="769"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319"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智慧预约系统数据分析处理</w:t>
            </w:r>
          </w:p>
        </w:tc>
        <w:tc>
          <w:tcPr>
            <w:tcW w:w="5925"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根据中心预约业务要求，需要对13个管理部预约等数据等进行检查和异常分析。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50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5</w:t>
            </w:r>
          </w:p>
        </w:tc>
        <w:tc>
          <w:tcPr>
            <w:tcW w:w="769"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319"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智慧预约系统发布管理</w:t>
            </w:r>
          </w:p>
        </w:tc>
        <w:tc>
          <w:tcPr>
            <w:tcW w:w="5925"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根据中心应用系统发布管理流程，进行代码升级迭代，为确保代码的质量和稳定性，严格按照中心发布流程来构建、测试、打包和部署应用程序。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50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6</w:t>
            </w:r>
          </w:p>
        </w:tc>
        <w:tc>
          <w:tcPr>
            <w:tcW w:w="769"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319"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重大活动及节假日以及应急安全演练、重保期间值守</w:t>
            </w:r>
          </w:p>
        </w:tc>
        <w:tc>
          <w:tcPr>
            <w:tcW w:w="5925"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为加强中心网络安全体系建设，确保专项工作安全有序开展，在重大攻防演练活动和重大节假日，如粤盾、粤网安、两会期间等进行7*24小时安全值守工作。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50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7</w:t>
            </w:r>
          </w:p>
        </w:tc>
        <w:tc>
          <w:tcPr>
            <w:tcW w:w="769"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319"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日志分析</w:t>
            </w:r>
          </w:p>
        </w:tc>
        <w:tc>
          <w:tcPr>
            <w:tcW w:w="5925"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根据智慧预约系统所产生的日志进行分析，及时发现系统异常情况并进行系统优化和处理。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50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8</w:t>
            </w:r>
          </w:p>
        </w:tc>
        <w:tc>
          <w:tcPr>
            <w:tcW w:w="769"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319"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安全管理</w:t>
            </w:r>
          </w:p>
        </w:tc>
        <w:tc>
          <w:tcPr>
            <w:tcW w:w="5925"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根据上级部门或者安全维护公司所提出的安全问题制定并执行安全策略，保护应用软件系统的安全，防止恶意攻击和数据泄露。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50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9</w:t>
            </w:r>
          </w:p>
        </w:tc>
        <w:tc>
          <w:tcPr>
            <w:tcW w:w="769"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319"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需求调研分析管理</w:t>
            </w:r>
          </w:p>
        </w:tc>
        <w:tc>
          <w:tcPr>
            <w:tcW w:w="5925"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主要收集业务部门以及13个管理部优化需求，并根据沟通完成用户需求说明书的编制工作。</w:t>
            </w:r>
          </w:p>
        </w:tc>
      </w:tr>
    </w:tbl>
    <w:p>
      <w:pPr>
        <w:ind w:firstLine="480"/>
      </w:pPr>
      <w:r>
        <w:rPr>
          <w:rFonts w:hint="eastAsia"/>
        </w:rPr>
        <w:br w:type="page"/>
      </w:r>
    </w:p>
    <w:p>
      <w:pPr>
        <w:pStyle w:val="4"/>
        <w:ind w:firstLine="562"/>
      </w:pPr>
      <w:bookmarkStart w:id="1" w:name="_Toc129684588"/>
      <w:r>
        <w:rPr>
          <w:rFonts w:hint="eastAsia"/>
        </w:rPr>
        <w:t>穗智管数据分析系统运维</w:t>
      </w:r>
      <w:bookmarkEnd w:id="1"/>
    </w:p>
    <w:p>
      <w:pPr>
        <w:ind w:firstLine="480"/>
        <w:jc w:val="center"/>
      </w:pPr>
      <w:r>
        <w:rPr>
          <w:rFonts w:hint="eastAsia"/>
        </w:rPr>
        <w:t>穗智管数据分析系统软件运维需求表</w:t>
      </w:r>
    </w:p>
    <w:tbl>
      <w:tblPr>
        <w:tblStyle w:val="1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65"/>
        <w:gridCol w:w="1096"/>
        <w:gridCol w:w="6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序号</w:t>
            </w:r>
          </w:p>
        </w:tc>
        <w:tc>
          <w:tcPr>
            <w:tcW w:w="765"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类别名称</w:t>
            </w:r>
          </w:p>
        </w:tc>
        <w:tc>
          <w:tcPr>
            <w:tcW w:w="1096" w:type="dxa"/>
            <w:shd w:val="clear" w:color="auto" w:fill="auto"/>
            <w:vAlign w:val="center"/>
          </w:tcPr>
          <w:p>
            <w:pPr>
              <w:widowControl/>
              <w:adjustRightInd/>
              <w:snapToGrid/>
              <w:spacing w:line="240" w:lineRule="auto"/>
              <w:ind w:firstLine="0" w:firstLineChars="0"/>
              <w:jc w:val="center"/>
              <w:rPr>
                <w:rFonts w:hint="default" w:ascii="仿宋_GB2312" w:hAnsi="宋体" w:eastAsia="宋体" w:cs="宋体"/>
                <w:color w:val="000000"/>
                <w:kern w:val="0"/>
                <w:szCs w:val="24"/>
                <w:lang w:val="en-US" w:eastAsia="zh-CN"/>
              </w:rPr>
            </w:pPr>
            <w:r>
              <w:rPr>
                <w:rFonts w:hint="eastAsia" w:ascii="仿宋_GB2312" w:hAnsi="宋体" w:cs="宋体"/>
                <w:color w:val="000000"/>
                <w:kern w:val="0"/>
                <w:szCs w:val="24"/>
                <w:lang w:val="en-US" w:eastAsia="zh-CN"/>
              </w:rPr>
              <w:t>服务内容</w:t>
            </w:r>
          </w:p>
        </w:tc>
        <w:tc>
          <w:tcPr>
            <w:tcW w:w="6202"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工作内容及要求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1</w:t>
            </w:r>
          </w:p>
        </w:tc>
        <w:tc>
          <w:tcPr>
            <w:tcW w:w="765" w:type="dxa"/>
            <w:vMerge w:val="restart"/>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日常维护服务</w:t>
            </w:r>
          </w:p>
        </w:tc>
        <w:tc>
          <w:tcPr>
            <w:tcW w:w="1096" w:type="dxa"/>
            <w:shd w:val="clear" w:color="auto" w:fill="auto"/>
            <w:vAlign w:val="center"/>
          </w:tcPr>
          <w:p>
            <w:pPr>
              <w:widowControl/>
              <w:adjustRightInd/>
              <w:snapToGrid/>
              <w:spacing w:line="240" w:lineRule="auto"/>
              <w:ind w:firstLine="0" w:firstLineChars="0"/>
              <w:jc w:val="center"/>
              <w:rPr>
                <w:rFonts w:hint="eastAsia" w:ascii="仿宋_GB2312" w:hAnsi="宋体" w:cs="宋体"/>
                <w:color w:val="000000"/>
                <w:kern w:val="0"/>
                <w:szCs w:val="24"/>
              </w:rPr>
            </w:pPr>
            <w:r>
              <w:rPr>
                <w:rFonts w:hint="eastAsia" w:ascii="仿宋_GB2312" w:hAnsi="宋体" w:cs="宋体"/>
                <w:color w:val="000000"/>
                <w:kern w:val="0"/>
                <w:szCs w:val="24"/>
              </w:rPr>
              <w:t>日常巡检</w:t>
            </w:r>
          </w:p>
        </w:tc>
        <w:tc>
          <w:tcPr>
            <w:tcW w:w="6202"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监控系统的运行状态，包括</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1、中心穗智管大屏：包括归集模块、提取模块、贷款模块、财务模块、行政执法模块、网上办事模块、线上业务情况、外联情况、中心地图区域9大模块，涉及各模块展示数据内容、各数据指标相关轮播图数据、属性指标等内容。</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2、穗智管接口：涉及对外释放穗智管数据接口7个。公积金业务汇总查询、公积金覆盖范围、缴存职工分类查询、贷款年龄分类、提取原因分类查询、公积金业务按行政区域查询、线上业务情况查询。</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3、发现故障并对其进行及时处理，以确保系统的稳定运行。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2</w:t>
            </w:r>
          </w:p>
        </w:tc>
        <w:tc>
          <w:tcPr>
            <w:tcW w:w="765"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096"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运维事件处理</w:t>
            </w:r>
          </w:p>
        </w:tc>
        <w:tc>
          <w:tcPr>
            <w:tcW w:w="6202"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根据运维工单所登记的系统事件问题进行实时响应和处理，以及时解决问题和实时登记处理的过程结果，避免潜在风险。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3</w:t>
            </w:r>
          </w:p>
        </w:tc>
        <w:tc>
          <w:tcPr>
            <w:tcW w:w="765"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096"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发布管理</w:t>
            </w:r>
          </w:p>
        </w:tc>
        <w:tc>
          <w:tcPr>
            <w:tcW w:w="6202"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根据中心应用系统发布管理流程，进行代码升级迭代，为确保代码的质量和稳定性，通过自动化流程来构建、测试、打包和部署应用程序。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4</w:t>
            </w:r>
          </w:p>
        </w:tc>
        <w:tc>
          <w:tcPr>
            <w:tcW w:w="765"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096"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数据分析处理</w:t>
            </w:r>
          </w:p>
        </w:tc>
        <w:tc>
          <w:tcPr>
            <w:tcW w:w="6202"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根据中心数据统计标准，对中心大屏缴存模块、提取模块、贷款模块、财务模块、行政执法模块、网上办事模块、线上业务情况、外联情况、地图区域。及穗智管业务接口等数据检查和异常分析。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5</w:t>
            </w:r>
          </w:p>
        </w:tc>
        <w:tc>
          <w:tcPr>
            <w:tcW w:w="765"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096"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需求调研分析管理</w:t>
            </w:r>
          </w:p>
        </w:tc>
        <w:tc>
          <w:tcPr>
            <w:tcW w:w="6202"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主要收集业务部门优化需求，涉及大屏缴存模块、提取模块、贷款模块、财务模块、行政执法模块、网上办事模块、线上业务情况、外联情况、地图区域。穗智管业务接口优化等需求，并根据沟通完成用户需求说明书的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6</w:t>
            </w:r>
          </w:p>
        </w:tc>
        <w:tc>
          <w:tcPr>
            <w:tcW w:w="765"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096"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日志分析</w:t>
            </w:r>
          </w:p>
        </w:tc>
        <w:tc>
          <w:tcPr>
            <w:tcW w:w="6202"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根据部署在服务器的应用服务所产生的日志进行分析，及时发现系统异常情况并进行系统优化和处理。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7</w:t>
            </w:r>
          </w:p>
        </w:tc>
        <w:tc>
          <w:tcPr>
            <w:tcW w:w="765"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096"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重大活动及节假日值守</w:t>
            </w:r>
          </w:p>
        </w:tc>
        <w:tc>
          <w:tcPr>
            <w:tcW w:w="6202"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为加强中心网络安全体系建设，确保专项工作安全有序开展，在重大攻防演练活动和重大节假日，如粤盾等进行7*24小时安全值守工作。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8</w:t>
            </w:r>
          </w:p>
        </w:tc>
        <w:tc>
          <w:tcPr>
            <w:tcW w:w="765"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096"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安全管理</w:t>
            </w:r>
          </w:p>
        </w:tc>
        <w:tc>
          <w:tcPr>
            <w:tcW w:w="6202"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根据上级部门或者安全维护公司所提出的安全问题制定并执行安全策略，保护应用软件系统的安全，防止恶意攻击和数据泄露。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9</w:t>
            </w:r>
          </w:p>
        </w:tc>
        <w:tc>
          <w:tcPr>
            <w:tcW w:w="765"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096"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系统配置管理</w:t>
            </w:r>
          </w:p>
        </w:tc>
        <w:tc>
          <w:tcPr>
            <w:tcW w:w="6202"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检查系统配置信息，涉及软件配置、系统配置等，以确保系统的持续运营和升级。</w:t>
            </w:r>
          </w:p>
        </w:tc>
      </w:tr>
    </w:tbl>
    <w:p>
      <w:pPr>
        <w:ind w:firstLine="0" w:firstLineChars="0"/>
      </w:pPr>
      <w:r>
        <w:rPr>
          <w:rFonts w:hint="eastAsia"/>
        </w:rPr>
        <w:br w:type="page"/>
      </w:r>
    </w:p>
    <w:p>
      <w:pPr>
        <w:pStyle w:val="4"/>
        <w:ind w:firstLine="562"/>
      </w:pPr>
      <w:r>
        <w:rPr>
          <w:rFonts w:hint="eastAsia"/>
        </w:rPr>
        <w:t>前台外设一体化系统运维</w:t>
      </w:r>
    </w:p>
    <w:tbl>
      <w:tblPr>
        <w:tblStyle w:val="1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99"/>
        <w:gridCol w:w="1028"/>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序号</w:t>
            </w:r>
          </w:p>
        </w:tc>
        <w:tc>
          <w:tcPr>
            <w:tcW w:w="799"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类别名称</w:t>
            </w:r>
          </w:p>
        </w:tc>
        <w:tc>
          <w:tcPr>
            <w:tcW w:w="1028" w:type="dxa"/>
            <w:shd w:val="clear" w:color="auto" w:fill="auto"/>
            <w:vAlign w:val="center"/>
          </w:tcPr>
          <w:p>
            <w:pPr>
              <w:widowControl/>
              <w:adjustRightInd/>
              <w:snapToGrid/>
              <w:spacing w:line="240" w:lineRule="auto"/>
              <w:ind w:firstLine="0" w:firstLineChars="0"/>
              <w:jc w:val="center"/>
              <w:rPr>
                <w:rFonts w:hint="eastAsia" w:ascii="仿宋_GB2312" w:hAnsi="宋体" w:eastAsia="宋体" w:cs="宋体"/>
                <w:color w:val="000000"/>
                <w:kern w:val="0"/>
                <w:szCs w:val="24"/>
                <w:lang w:val="en-US" w:eastAsia="zh-CN"/>
              </w:rPr>
            </w:pPr>
            <w:r>
              <w:rPr>
                <w:rFonts w:hint="eastAsia" w:ascii="仿宋_GB2312" w:hAnsi="宋体" w:cs="宋体"/>
                <w:color w:val="000000"/>
                <w:kern w:val="0"/>
                <w:szCs w:val="24"/>
                <w:lang w:val="en-US" w:eastAsia="zh-CN"/>
              </w:rPr>
              <w:t>服务内容</w:t>
            </w:r>
          </w:p>
        </w:tc>
        <w:tc>
          <w:tcPr>
            <w:tcW w:w="623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工作内容及要求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1</w:t>
            </w:r>
          </w:p>
        </w:tc>
        <w:tc>
          <w:tcPr>
            <w:tcW w:w="799" w:type="dxa"/>
            <w:vMerge w:val="restart"/>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日常维护服务</w:t>
            </w:r>
          </w:p>
        </w:tc>
        <w:tc>
          <w:tcPr>
            <w:tcW w:w="1028" w:type="dxa"/>
            <w:shd w:val="clear" w:color="auto" w:fill="auto"/>
            <w:vAlign w:val="center"/>
          </w:tcPr>
          <w:p>
            <w:pPr>
              <w:widowControl/>
              <w:adjustRightInd/>
              <w:snapToGrid/>
              <w:spacing w:line="240" w:lineRule="auto"/>
              <w:ind w:firstLine="0" w:firstLineChars="0"/>
              <w:jc w:val="center"/>
              <w:rPr>
                <w:rFonts w:hint="eastAsia" w:ascii="仿宋_GB2312" w:hAnsi="宋体" w:cs="宋体"/>
                <w:color w:val="000000"/>
                <w:kern w:val="0"/>
                <w:szCs w:val="24"/>
              </w:rPr>
            </w:pPr>
            <w:r>
              <w:rPr>
                <w:rFonts w:hint="eastAsia" w:ascii="仿宋_GB2312" w:hAnsi="宋体" w:cs="宋体"/>
                <w:color w:val="000000"/>
                <w:kern w:val="0"/>
                <w:szCs w:val="24"/>
              </w:rPr>
              <w:t>运维事件处理</w:t>
            </w:r>
          </w:p>
        </w:tc>
        <w:tc>
          <w:tcPr>
            <w:tcW w:w="6236"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根据运维工单所登记的系统设备与网点事件问题进行实时响应和处理，以及时解决问题和实时登记处理的过程结果，避免潜在风险。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2</w:t>
            </w:r>
          </w:p>
        </w:tc>
        <w:tc>
          <w:tcPr>
            <w:tcW w:w="799"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028"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设备故障检测及排除、错误分析及统计</w:t>
            </w:r>
          </w:p>
        </w:tc>
        <w:tc>
          <w:tcPr>
            <w:tcW w:w="6236"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响应时间：1小时</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排除故障时间：1天内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3</w:t>
            </w:r>
          </w:p>
        </w:tc>
        <w:tc>
          <w:tcPr>
            <w:tcW w:w="799"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028"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需求调研分析管理</w:t>
            </w:r>
          </w:p>
        </w:tc>
        <w:tc>
          <w:tcPr>
            <w:tcW w:w="6236"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1、收集记录业务部门以及13个管理部用户业务需求问题并归档；</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2、前台一体机和业务系统深层次需求挖掘；</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3、竞品分析需求汇总；</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4、用户调研需求收集；</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维护周期：日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4</w:t>
            </w:r>
          </w:p>
        </w:tc>
        <w:tc>
          <w:tcPr>
            <w:tcW w:w="799"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028"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重大活动及节假日以及应急安全演练、重保期间值守</w:t>
            </w:r>
          </w:p>
        </w:tc>
        <w:tc>
          <w:tcPr>
            <w:tcW w:w="6236"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为加强中心网络安全体系建设，确保专项工作安全有序开展，在重大攻防演练活动和重大节假日，如粤盾、粤网安、两会期间等保障工作。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5</w:t>
            </w:r>
          </w:p>
        </w:tc>
        <w:tc>
          <w:tcPr>
            <w:tcW w:w="799"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028"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管理组件配置</w:t>
            </w:r>
          </w:p>
        </w:tc>
        <w:tc>
          <w:tcPr>
            <w:tcW w:w="6236"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对7个标准接口模块组件进行配置，二代身份证识别模块、触摸手写输入模块、高拍仪模块、社保卡/银行卡读卡模块、二维码扫描模块、高清摄像头模块、电子签名模块等。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6</w:t>
            </w:r>
          </w:p>
        </w:tc>
        <w:tc>
          <w:tcPr>
            <w:tcW w:w="799"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028"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日常巡检</w:t>
            </w:r>
          </w:p>
        </w:tc>
        <w:tc>
          <w:tcPr>
            <w:tcW w:w="6236"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工作日一天两次，检查设备程序的运行状态，发现故障并对其进行及时处理，以确保系统的稳定运行。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7</w:t>
            </w:r>
          </w:p>
        </w:tc>
        <w:tc>
          <w:tcPr>
            <w:tcW w:w="799"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028"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可用性检查</w:t>
            </w:r>
          </w:p>
        </w:tc>
        <w:tc>
          <w:tcPr>
            <w:tcW w:w="6236"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1、收集并分析业务部门以及13个管理部需求可行性和必要性；</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2、编写需求可行性方案并上报甲方；</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3、验证需求实现功能可行性；</w:t>
            </w:r>
          </w:p>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维护周期：日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8</w:t>
            </w:r>
          </w:p>
        </w:tc>
        <w:tc>
          <w:tcPr>
            <w:tcW w:w="799"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028"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日志分析</w:t>
            </w:r>
          </w:p>
        </w:tc>
        <w:tc>
          <w:tcPr>
            <w:tcW w:w="6236"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根据需求，对设备运行日志进行分析，及时发现设备异常情况并进行优化和处理。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56" w:type="dxa"/>
            <w:shd w:val="clear" w:color="auto" w:fill="auto"/>
            <w:vAlign w:val="center"/>
          </w:tcPr>
          <w:p>
            <w:pPr>
              <w:widowControl/>
              <w:adjustRightInd/>
              <w:snapToGrid/>
              <w:spacing w:line="240" w:lineRule="auto"/>
              <w:ind w:firstLine="0" w:firstLineChars="0"/>
              <w:jc w:val="center"/>
              <w:rPr>
                <w:rFonts w:ascii="仿宋_GB2312" w:hAnsi="宋体" w:cs="宋体"/>
                <w:color w:val="000000"/>
                <w:kern w:val="0"/>
                <w:szCs w:val="24"/>
              </w:rPr>
            </w:pPr>
            <w:r>
              <w:rPr>
                <w:rFonts w:hint="eastAsia" w:ascii="仿宋_GB2312" w:hAnsi="宋体" w:cs="宋体"/>
                <w:color w:val="000000"/>
                <w:kern w:val="0"/>
                <w:szCs w:val="24"/>
              </w:rPr>
              <w:t>9</w:t>
            </w:r>
          </w:p>
        </w:tc>
        <w:tc>
          <w:tcPr>
            <w:tcW w:w="799" w:type="dxa"/>
            <w:vMerge w:val="continue"/>
            <w:vAlign w:val="center"/>
          </w:tcPr>
          <w:p>
            <w:pPr>
              <w:widowControl/>
              <w:adjustRightInd/>
              <w:snapToGrid/>
              <w:spacing w:line="240" w:lineRule="auto"/>
              <w:ind w:firstLine="0" w:firstLineChars="0"/>
              <w:jc w:val="left"/>
              <w:rPr>
                <w:rFonts w:ascii="仿宋_GB2312" w:hAnsi="宋体" w:cs="宋体"/>
                <w:color w:val="000000"/>
                <w:kern w:val="0"/>
                <w:szCs w:val="24"/>
              </w:rPr>
            </w:pPr>
          </w:p>
        </w:tc>
        <w:tc>
          <w:tcPr>
            <w:tcW w:w="1028"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系统配置管理</w:t>
            </w:r>
          </w:p>
        </w:tc>
        <w:tc>
          <w:tcPr>
            <w:tcW w:w="6236" w:type="dxa"/>
            <w:shd w:val="clear" w:color="auto" w:fill="auto"/>
            <w:vAlign w:val="center"/>
          </w:tcPr>
          <w:p>
            <w:pPr>
              <w:widowControl/>
              <w:adjustRightInd/>
              <w:snapToGrid/>
              <w:spacing w:line="240" w:lineRule="auto"/>
              <w:ind w:firstLine="0" w:firstLineChars="0"/>
              <w:jc w:val="left"/>
              <w:rPr>
                <w:rFonts w:ascii="仿宋_GB2312" w:hAnsi="宋体" w:cs="宋体"/>
                <w:color w:val="000000"/>
                <w:kern w:val="0"/>
                <w:szCs w:val="24"/>
              </w:rPr>
            </w:pPr>
            <w:r>
              <w:rPr>
                <w:rFonts w:hint="eastAsia" w:ascii="仿宋_GB2312" w:hAnsi="宋体" w:cs="宋体"/>
                <w:color w:val="000000"/>
                <w:kern w:val="0"/>
                <w:szCs w:val="24"/>
              </w:rPr>
              <w:t>检查设备系统配设备的持续运营和升级。</w:t>
            </w:r>
          </w:p>
        </w:tc>
      </w:tr>
    </w:tbl>
    <w:p>
      <w:pPr>
        <w:ind w:firstLine="0" w:firstLineChars="0"/>
      </w:pPr>
    </w:p>
    <w:p>
      <w:pPr>
        <w:ind w:firstLine="480"/>
      </w:pPr>
    </w:p>
    <w:p>
      <w:pPr>
        <w:ind w:firstLine="480"/>
      </w:pPr>
      <w:r>
        <w:rPr>
          <w:rFonts w:hint="eastAsia"/>
        </w:rPr>
        <w:br w:type="page"/>
      </w:r>
    </w:p>
    <w:p>
      <w:pPr>
        <w:pStyle w:val="3"/>
        <w:ind w:firstLine="562"/>
      </w:pPr>
      <w:r>
        <w:rPr>
          <w:rFonts w:hint="eastAsia"/>
        </w:rPr>
        <w:t>运维服务总体要求</w:t>
      </w:r>
    </w:p>
    <w:p>
      <w:pPr>
        <w:ind w:firstLine="480"/>
      </w:pPr>
      <w:r>
        <w:rPr>
          <w:rFonts w:hint="eastAsia"/>
        </w:rPr>
        <w:t>为保障公积金业务系统的正常运行，建立运维保障机制，包括组织构成、职能、工作机制、运维流程管理。</w:t>
      </w:r>
    </w:p>
    <w:p>
      <w:pPr>
        <w:pStyle w:val="4"/>
        <w:ind w:firstLine="562"/>
      </w:pPr>
      <w:r>
        <w:rPr>
          <w:rFonts w:hint="eastAsia"/>
        </w:rPr>
        <w:t>服务内容说明</w:t>
      </w:r>
    </w:p>
    <w:p>
      <w:pPr>
        <w:ind w:firstLine="480"/>
      </w:pPr>
      <w:r>
        <w:rPr>
          <w:rFonts w:hint="eastAsia"/>
        </w:rPr>
        <w:t>服务流程要依据所建立的工作机制，各方展开和进行工作的程序，以及各方的输入、输出文档等。</w:t>
      </w:r>
    </w:p>
    <w:p>
      <w:pPr>
        <w:ind w:firstLine="480"/>
      </w:pPr>
      <w:r>
        <w:rPr>
          <w:rFonts w:hint="eastAsia"/>
        </w:rPr>
        <w:t>流程要求描述：</w:t>
      </w:r>
    </w:p>
    <w:p>
      <w:pPr>
        <w:ind w:firstLine="480"/>
      </w:pPr>
      <w:r>
        <w:rPr>
          <w:rFonts w:hint="eastAsia"/>
        </w:rPr>
        <w:t>服务流程：用户方的服务请求者通过电话、邮件或短信方式报送给服务方设置在用户现场的维护服务台，由服务台</w:t>
      </w:r>
      <w:bookmarkStart w:id="8" w:name="_GoBack"/>
      <w:bookmarkEnd w:id="8"/>
      <w:r>
        <w:rPr>
          <w:rFonts w:hint="eastAsia"/>
        </w:rPr>
        <w:t>工程师统一记录并派单给服务方运维服务工程师，由运维工程师予以解决，问题解决后产生《服务记录单》，提交服务台工程师，服务台工程师交由中心支撑组负责人及其他维护工程师或经办人签字确认。</w:t>
      </w:r>
    </w:p>
    <w:p>
      <w:pPr>
        <w:ind w:firstLine="480"/>
      </w:pPr>
      <w:r>
        <w:rPr>
          <w:rFonts w:hint="eastAsia"/>
        </w:rPr>
        <w:t>业务服务流程：中心以书面形式发出《业务服务记录单》，在《运维服务合同》范围内，由服务方予以解决，解决后将《业务服务记录单》提交中心确认。</w:t>
      </w:r>
    </w:p>
    <w:p>
      <w:pPr>
        <w:ind w:firstLine="480"/>
      </w:pPr>
      <w:r>
        <w:rPr>
          <w:rFonts w:hint="eastAsia"/>
        </w:rPr>
        <w:t>应用调优服务流程，由服务方运维服务组对代码进行必要分析，在不影响业务的情况下，经过中心同意对应用进行调优，调优后产生《调优服务记录单》，提交中心签字确认。</w:t>
      </w:r>
    </w:p>
    <w:p>
      <w:pPr>
        <w:pStyle w:val="4"/>
        <w:ind w:firstLine="562"/>
      </w:pPr>
      <w:r>
        <w:rPr>
          <w:rFonts w:hint="eastAsia"/>
        </w:rPr>
        <w:t>组织机构及职能</w:t>
      </w:r>
    </w:p>
    <w:p>
      <w:pPr>
        <w:ind w:firstLine="480"/>
      </w:pPr>
      <w:r>
        <w:rPr>
          <w:rFonts w:hint="eastAsia"/>
        </w:rPr>
        <w:t>建立运维执行团队，负责运维工作的实施，包括：运维体系建设、故障应急响应、运维流程执行、日常运维的实施。</w:t>
      </w:r>
    </w:p>
    <w:p>
      <w:pPr>
        <w:ind w:firstLine="480"/>
        <w:rPr>
          <w:rFonts w:hint="eastAsia" w:eastAsia="宋体"/>
          <w:lang w:val="en-US" w:eastAsia="zh-CN"/>
        </w:rPr>
      </w:pPr>
      <w:r>
        <w:rPr>
          <w:rFonts w:hint="eastAsia"/>
        </w:rPr>
        <w:t>运维团队包含服务台和专业运维人员。其中，服务台负责接受运维服务请求，推进运维知识库建设与完善，跟踪、监督运维任务执行，向中心汇报和反馈重大事件的处理情况；专业运维人员负责执行运维任务，由投标人运维专业工程师组成</w:t>
      </w:r>
      <w:r>
        <w:rPr>
          <w:rFonts w:hint="eastAsia"/>
          <w:lang w:eastAsia="zh-CN"/>
        </w:rPr>
        <w:t>，</w:t>
      </w:r>
      <w:r>
        <w:rPr>
          <w:rFonts w:hint="eastAsia"/>
          <w:lang w:val="en-US" w:eastAsia="zh-CN"/>
        </w:rPr>
        <w:t>专业运维人员</w:t>
      </w:r>
      <w:r>
        <w:rPr>
          <w:rFonts w:hint="eastAsia"/>
        </w:rPr>
        <w:t>需包含但不限于项目经理、技术负责人、数据分析师、软件评测师</w:t>
      </w:r>
      <w:r>
        <w:rPr>
          <w:rFonts w:hint="eastAsia"/>
          <w:lang w:eastAsia="zh-CN"/>
        </w:rPr>
        <w:t>、</w:t>
      </w:r>
      <w:r>
        <w:rPr>
          <w:rFonts w:hint="eastAsia"/>
        </w:rPr>
        <w:t>运维安全保障人员</w:t>
      </w:r>
      <w:r>
        <w:rPr>
          <w:rFonts w:hint="eastAsia"/>
          <w:lang w:val="en-US" w:eastAsia="zh-CN"/>
        </w:rPr>
        <w:t>等。</w:t>
      </w:r>
    </w:p>
    <w:p>
      <w:pPr>
        <w:pStyle w:val="4"/>
        <w:ind w:firstLine="562"/>
      </w:pPr>
      <w:r>
        <w:rPr>
          <w:rFonts w:hint="eastAsia"/>
        </w:rPr>
        <w:t>服务要求</w:t>
      </w:r>
    </w:p>
    <w:p>
      <w:pPr>
        <w:ind w:firstLine="480"/>
      </w:pPr>
      <w:r>
        <w:rPr>
          <w:rFonts w:hint="eastAsia"/>
        </w:rPr>
        <w:t>运维保障组织在运维服务周期内，围绕服务内容、服务质量要求，在中心及运维管理团队的指导监督下，各司其责，有条不紊地开展工作。</w:t>
      </w:r>
    </w:p>
    <w:p>
      <w:pPr>
        <w:pStyle w:val="5"/>
        <w:ind w:firstLine="562"/>
      </w:pPr>
      <w:r>
        <w:rPr>
          <w:rFonts w:hint="eastAsia"/>
        </w:rPr>
        <w:t>基础维保服务内容</w:t>
      </w:r>
    </w:p>
    <w:p>
      <w:pPr>
        <w:ind w:firstLine="480"/>
      </w:pPr>
      <w:bookmarkStart w:id="2" w:name="_Ref245541860"/>
      <w:r>
        <w:rPr>
          <w:rFonts w:hint="eastAsia"/>
        </w:rPr>
        <w:t>（1）服务热线，需为客户提供不间断的售后技术支持（故障申报、硬件报修等）、销售及购买咨询、服务政策咨询、投诉及建议等服务请求受理。</w:t>
      </w:r>
    </w:p>
    <w:bookmarkEnd w:id="2"/>
    <w:p>
      <w:pPr>
        <w:ind w:firstLine="480"/>
      </w:pPr>
      <w:r>
        <w:rPr>
          <w:rFonts w:hint="eastAsia"/>
        </w:rPr>
        <w:t>（2）远程问题处理</w:t>
      </w:r>
    </w:p>
    <w:p>
      <w:pPr>
        <w:ind w:firstLine="480"/>
      </w:pPr>
      <w:bookmarkStart w:id="3" w:name="_Toc241641296"/>
      <w:r>
        <w:rPr>
          <w:rFonts w:hint="eastAsia"/>
        </w:rPr>
        <w:t>投标人的工程师在接到网络或系统故障申报后，将首先进行远程故障分析与处理，及时排除故障。远程问题处理包括电话支持和远程接入。</w:t>
      </w:r>
    </w:p>
    <w:p>
      <w:pPr>
        <w:ind w:firstLine="480"/>
      </w:pPr>
      <w:bookmarkStart w:id="4" w:name="_Toc243986884"/>
      <w:bookmarkStart w:id="5" w:name="_Toc243968450"/>
      <w:r>
        <w:rPr>
          <w:rFonts w:hint="eastAsia"/>
        </w:rPr>
        <w:t>电话支持</w:t>
      </w:r>
      <w:bookmarkEnd w:id="4"/>
      <w:bookmarkEnd w:id="5"/>
      <w:r>
        <w:rPr>
          <w:rFonts w:hint="eastAsia"/>
        </w:rPr>
        <w:t>：接到服务请求后，将在服务等级规定的响应时间内通过电话支持进行响应，帮助客户对问题进行分析、诊断以及定位，提供解决问题的方案，并引导客户实施。</w:t>
      </w:r>
    </w:p>
    <w:p>
      <w:pPr>
        <w:ind w:firstLine="480"/>
      </w:pPr>
      <w:bookmarkStart w:id="6" w:name="_Toc243986885"/>
      <w:bookmarkStart w:id="7" w:name="_Toc243968451"/>
      <w:r>
        <w:rPr>
          <w:rFonts w:hint="eastAsia"/>
        </w:rPr>
        <w:t>远程接入</w:t>
      </w:r>
      <w:bookmarkEnd w:id="6"/>
      <w:bookmarkEnd w:id="7"/>
      <w:r>
        <w:rPr>
          <w:rFonts w:hint="eastAsia"/>
        </w:rPr>
        <w:t>：对于通过电话支持服务不能解决的故障或问题，在征得用户同意后，通过远程终端登陆到故障设备中调查和收集数据，分析故障原因，提出解决方案，指导客户实施，必要时可以提供远程操作。</w:t>
      </w:r>
      <w:bookmarkEnd w:id="3"/>
    </w:p>
    <w:p>
      <w:pPr>
        <w:ind w:firstLine="480"/>
      </w:pPr>
      <w:r>
        <w:rPr>
          <w:rFonts w:hint="eastAsia"/>
        </w:rPr>
        <w:t>（3）基础维保服务执行标准</w:t>
      </w:r>
    </w:p>
    <w:tbl>
      <w:tblPr>
        <w:tblStyle w:val="14"/>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559"/>
        <w:gridCol w:w="2694"/>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blHeader/>
          <w:jc w:val="center"/>
        </w:trPr>
        <w:tc>
          <w:tcPr>
            <w:tcW w:w="1560" w:type="dxa"/>
            <w:shd w:val="clear" w:color="auto" w:fill="E0E0E0"/>
            <w:vAlign w:val="center"/>
          </w:tcPr>
          <w:p>
            <w:pPr>
              <w:pStyle w:val="16"/>
            </w:pPr>
            <w:r>
              <w:rPr>
                <w:rFonts w:hint="eastAsia"/>
              </w:rPr>
              <w:t>服务内容</w:t>
            </w:r>
          </w:p>
        </w:tc>
        <w:tc>
          <w:tcPr>
            <w:tcW w:w="1559" w:type="dxa"/>
            <w:shd w:val="clear" w:color="auto" w:fill="E0E0E0"/>
            <w:vAlign w:val="center"/>
          </w:tcPr>
          <w:p>
            <w:pPr>
              <w:pStyle w:val="16"/>
            </w:pPr>
            <w:r>
              <w:rPr>
                <w:rFonts w:hint="eastAsia"/>
              </w:rPr>
              <w:t>服务响应时间</w:t>
            </w:r>
          </w:p>
        </w:tc>
        <w:tc>
          <w:tcPr>
            <w:tcW w:w="2694" w:type="dxa"/>
            <w:shd w:val="clear" w:color="auto" w:fill="E0E0E0"/>
            <w:vAlign w:val="center"/>
          </w:tcPr>
          <w:p>
            <w:pPr>
              <w:pStyle w:val="16"/>
            </w:pPr>
            <w:r>
              <w:rPr>
                <w:rFonts w:hint="eastAsia"/>
              </w:rPr>
              <w:t>描述</w:t>
            </w:r>
          </w:p>
        </w:tc>
        <w:tc>
          <w:tcPr>
            <w:tcW w:w="3118" w:type="dxa"/>
            <w:shd w:val="clear" w:color="auto" w:fill="E0E0E0"/>
            <w:vAlign w:val="center"/>
          </w:tcPr>
          <w:p>
            <w:pPr>
              <w:pStyle w:val="16"/>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560" w:type="dxa"/>
            <w:vAlign w:val="center"/>
          </w:tcPr>
          <w:p>
            <w:pPr>
              <w:pStyle w:val="16"/>
            </w:pPr>
            <w:r>
              <w:rPr>
                <w:rFonts w:hint="eastAsia"/>
              </w:rPr>
              <w:t>热线受理</w:t>
            </w:r>
          </w:p>
        </w:tc>
        <w:tc>
          <w:tcPr>
            <w:tcW w:w="1559" w:type="dxa"/>
            <w:vAlign w:val="center"/>
          </w:tcPr>
          <w:p>
            <w:pPr>
              <w:pStyle w:val="16"/>
            </w:pPr>
            <w:r>
              <w:rPr>
                <w:rFonts w:hint="eastAsia"/>
              </w:rPr>
              <w:t>7×24</w:t>
            </w:r>
          </w:p>
        </w:tc>
        <w:tc>
          <w:tcPr>
            <w:tcW w:w="2694" w:type="dxa"/>
            <w:vAlign w:val="center"/>
          </w:tcPr>
          <w:p>
            <w:pPr>
              <w:pStyle w:val="16"/>
            </w:pPr>
            <w:r>
              <w:rPr>
                <w:rFonts w:hint="eastAsia"/>
              </w:rPr>
              <w:t>7×24：周一至周日, 00:00～24:00（全天候,节假日无休）</w:t>
            </w:r>
          </w:p>
        </w:tc>
        <w:tc>
          <w:tcPr>
            <w:tcW w:w="3118" w:type="dxa"/>
            <w:vAlign w:val="center"/>
          </w:tcPr>
          <w:p>
            <w:pPr>
              <w:pStyle w:val="16"/>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1560" w:type="dxa"/>
            <w:vAlign w:val="center"/>
          </w:tcPr>
          <w:p>
            <w:pPr>
              <w:pStyle w:val="16"/>
            </w:pPr>
            <w:r>
              <w:rPr>
                <w:rFonts w:hint="eastAsia"/>
              </w:rPr>
              <w:t>远程问题处理</w:t>
            </w:r>
          </w:p>
        </w:tc>
        <w:tc>
          <w:tcPr>
            <w:tcW w:w="1559" w:type="dxa"/>
            <w:vAlign w:val="center"/>
          </w:tcPr>
          <w:p>
            <w:pPr>
              <w:pStyle w:val="16"/>
            </w:pPr>
            <w:r>
              <w:rPr>
                <w:rFonts w:hint="eastAsia"/>
              </w:rPr>
              <w:t>7×24</w:t>
            </w:r>
          </w:p>
        </w:tc>
        <w:tc>
          <w:tcPr>
            <w:tcW w:w="2694" w:type="dxa"/>
            <w:vAlign w:val="center"/>
          </w:tcPr>
          <w:p>
            <w:pPr>
              <w:pStyle w:val="16"/>
            </w:pPr>
            <w:r>
              <w:rPr>
                <w:rFonts w:hint="eastAsia"/>
              </w:rPr>
              <w:t>7×24：周一至周日, 00:00～24:00（全天候,节假日无休）</w:t>
            </w:r>
          </w:p>
        </w:tc>
        <w:tc>
          <w:tcPr>
            <w:tcW w:w="3118" w:type="dxa"/>
            <w:vAlign w:val="center"/>
          </w:tcPr>
          <w:p>
            <w:pPr>
              <w:pStyle w:val="16"/>
            </w:pPr>
            <w:r>
              <w:rPr>
                <w:rFonts w:hint="eastAsia"/>
              </w:rPr>
              <w:t>远程问题处理服务响应时间定义：自技术支持中心响应工程师受理客户故障之时起算，到技术服务工程师首次联系用户开始远程技术支持服务为止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jc w:val="center"/>
        </w:trPr>
        <w:tc>
          <w:tcPr>
            <w:tcW w:w="1560" w:type="dxa"/>
            <w:vAlign w:val="center"/>
          </w:tcPr>
          <w:p>
            <w:pPr>
              <w:pStyle w:val="16"/>
            </w:pPr>
            <w:r>
              <w:rPr>
                <w:rFonts w:hint="eastAsia"/>
              </w:rPr>
              <w:t>在线技术支持</w:t>
            </w:r>
          </w:p>
        </w:tc>
        <w:tc>
          <w:tcPr>
            <w:tcW w:w="1559" w:type="dxa"/>
            <w:vAlign w:val="center"/>
          </w:tcPr>
          <w:p>
            <w:pPr>
              <w:pStyle w:val="16"/>
            </w:pPr>
            <w:r>
              <w:rPr>
                <w:rFonts w:hint="eastAsia"/>
              </w:rPr>
              <w:t>7×24</w:t>
            </w:r>
          </w:p>
        </w:tc>
        <w:tc>
          <w:tcPr>
            <w:tcW w:w="2694" w:type="dxa"/>
            <w:vAlign w:val="center"/>
          </w:tcPr>
          <w:p>
            <w:pPr>
              <w:pStyle w:val="16"/>
            </w:pPr>
            <w:r>
              <w:rPr>
                <w:rFonts w:hint="eastAsia"/>
              </w:rPr>
              <w:t>网站，7×24：周一至周日, 00:00～24:00（全天候）</w:t>
            </w:r>
          </w:p>
        </w:tc>
        <w:tc>
          <w:tcPr>
            <w:tcW w:w="3118" w:type="dxa"/>
            <w:vAlign w:val="center"/>
          </w:tcPr>
          <w:p>
            <w:pPr>
              <w:pStyle w:val="16"/>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1560" w:type="dxa"/>
            <w:vAlign w:val="center"/>
          </w:tcPr>
          <w:p>
            <w:pPr>
              <w:pStyle w:val="16"/>
            </w:pPr>
            <w:r>
              <w:rPr>
                <w:rFonts w:hint="eastAsia"/>
              </w:rPr>
              <w:t>现场技术支持</w:t>
            </w:r>
          </w:p>
        </w:tc>
        <w:tc>
          <w:tcPr>
            <w:tcW w:w="1559" w:type="dxa"/>
            <w:vAlign w:val="center"/>
          </w:tcPr>
          <w:p>
            <w:pPr>
              <w:pStyle w:val="16"/>
            </w:pPr>
            <w:r>
              <w:rPr>
                <w:rFonts w:hint="eastAsia"/>
              </w:rPr>
              <w:t>5×9</w:t>
            </w:r>
          </w:p>
        </w:tc>
        <w:tc>
          <w:tcPr>
            <w:tcW w:w="2694" w:type="dxa"/>
            <w:vAlign w:val="center"/>
          </w:tcPr>
          <w:p>
            <w:pPr>
              <w:pStyle w:val="16"/>
            </w:pPr>
            <w:r>
              <w:rPr>
                <w:rFonts w:hint="eastAsia"/>
              </w:rPr>
              <w:t>5×9：周一至周五，</w:t>
            </w:r>
            <w:r>
              <w:t>8：30</w:t>
            </w:r>
            <w:r>
              <w:rPr>
                <w:rFonts w:hint="eastAsia"/>
              </w:rPr>
              <w:t>～</w:t>
            </w:r>
            <w:r>
              <w:t>17：30</w:t>
            </w:r>
          </w:p>
        </w:tc>
        <w:tc>
          <w:tcPr>
            <w:tcW w:w="3118" w:type="dxa"/>
            <w:vAlign w:val="center"/>
          </w:tcPr>
          <w:p>
            <w:pPr>
              <w:pStyle w:val="16"/>
            </w:pPr>
            <w:r>
              <w:rPr>
                <w:rFonts w:hint="eastAsia"/>
              </w:rPr>
              <w:t>遇重大事件可在2小时内抵达现场（交通状况良好情况下）。</w:t>
            </w:r>
          </w:p>
        </w:tc>
      </w:tr>
    </w:tbl>
    <w:p>
      <w:pPr>
        <w:ind w:firstLine="480"/>
      </w:pPr>
      <w:r>
        <w:rPr>
          <w:rFonts w:hint="eastAsia"/>
        </w:rPr>
        <w:t>（4）服务经理与支持团队</w:t>
      </w:r>
    </w:p>
    <w:p>
      <w:pPr>
        <w:ind w:firstLine="480"/>
        <w:rPr>
          <w:rFonts w:hint="eastAsia"/>
        </w:rPr>
      </w:pPr>
      <w:r>
        <w:rPr>
          <w:rFonts w:hint="eastAsia"/>
        </w:rPr>
        <w:t>投标人针对公积金中心用户，需配备设置专门的服务经理及支持团队，根据公积金中心用户的维护需求特点制定专门服务计划，定期与公积金中心用户方沟通以控制服务质量，并在服务实施中负责相关协调。</w:t>
      </w:r>
    </w:p>
    <w:p>
      <w:pPr>
        <w:pStyle w:val="5"/>
        <w:ind w:firstLine="562"/>
      </w:pPr>
      <w:r>
        <w:rPr>
          <w:rFonts w:hint="eastAsia"/>
        </w:rPr>
        <w:t>应急保障服务要求</w:t>
      </w:r>
    </w:p>
    <w:p>
      <w:pPr>
        <w:ind w:firstLine="480"/>
      </w:pPr>
      <w:r>
        <w:rPr>
          <w:rFonts w:hint="eastAsia"/>
        </w:rPr>
        <w:t>投标人提供应急保障的目的在于确保中心业务系统在发生故障或面对意外突发事件时，系统软件能在最短时间内得以恢复，以使正常的业务继续进行，将系统故障可能导致的业务损失降低到最小限度。</w:t>
      </w:r>
    </w:p>
    <w:p>
      <w:pPr>
        <w:pStyle w:val="5"/>
        <w:ind w:firstLine="562"/>
      </w:pPr>
      <w:r>
        <w:rPr>
          <w:rFonts w:hint="eastAsia"/>
        </w:rPr>
        <w:t>故障处理服务要求</w:t>
      </w:r>
    </w:p>
    <w:p>
      <w:pPr>
        <w:ind w:firstLine="480"/>
      </w:pPr>
      <w:r>
        <w:rPr>
          <w:rFonts w:hint="eastAsia"/>
        </w:rPr>
        <w:t>投标人应根据中心申告的故障级别，采取必要的服务措施(包括调整)，尽快修复故障，恢复设备正常运行。投标人须保证优先实施业务恢复，在恢复业务的前提下，再进行彻底的故障修复。</w:t>
      </w:r>
    </w:p>
    <w:p>
      <w:pPr>
        <w:pStyle w:val="5"/>
        <w:ind w:firstLine="562"/>
      </w:pPr>
      <w:r>
        <w:rPr>
          <w:rFonts w:hint="eastAsia"/>
        </w:rPr>
        <w:t>质量保障要求</w:t>
      </w:r>
    </w:p>
    <w:p>
      <w:pPr>
        <w:ind w:firstLine="480"/>
      </w:pPr>
      <w:r>
        <w:rPr>
          <w:rFonts w:hint="eastAsia"/>
        </w:rPr>
        <w:t>高度重视运维过程中发现的异常情况，及时通知业主方查找原因，排除故障隐患，不断完善服务的质量管理，保障系统稳定。</w:t>
      </w:r>
    </w:p>
    <w:p>
      <w:pPr>
        <w:pStyle w:val="5"/>
        <w:ind w:firstLine="562"/>
      </w:pPr>
      <w:r>
        <w:rPr>
          <w:rFonts w:hint="eastAsia"/>
        </w:rPr>
        <w:t>风险检测要求</w:t>
      </w:r>
    </w:p>
    <w:p>
      <w:pPr>
        <w:adjustRightInd w:val="0"/>
        <w:snapToGrid w:val="0"/>
        <w:ind w:firstLine="480"/>
      </w:pPr>
      <w:r>
        <w:rPr>
          <w:rFonts w:hint="eastAsia"/>
        </w:rPr>
        <w:t>因本项目采购内容涉及中心重要业务数据，系统运维过程中均需要进行充分的风险检测，供应商应具备动态风险检测能力，主动、提前对项目风险进行防控及处理。</w:t>
      </w:r>
    </w:p>
    <w:p>
      <w:pPr>
        <w:pStyle w:val="5"/>
        <w:ind w:firstLine="562"/>
      </w:pPr>
      <w:r>
        <w:rPr>
          <w:rFonts w:hint="eastAsia"/>
        </w:rPr>
        <w:t>其他要求</w:t>
      </w:r>
    </w:p>
    <w:p>
      <w:pPr>
        <w:ind w:firstLine="480"/>
      </w:pPr>
      <w:r>
        <w:rPr>
          <w:rFonts w:hint="eastAsia"/>
        </w:rPr>
        <w:t>采</w:t>
      </w:r>
      <w:r>
        <w:t>购人有权在供应商中标后对其服务不间断能力进行考核验证，验证通过后，方可签订合同。考核期为中标后 10 个工作日，考核内容为本次服务内容的功能优化、故障修复，供应商应提供承诺函，如在规定考核期内不能按照考核要求进行服务，视为中标服务商提供虚假材料谋取中标、成交，移交同级政府采购监督管理部门进行相应处罚。</w:t>
      </w:r>
    </w:p>
    <w:p>
      <w:pPr>
        <w:adjustRightInd w:val="0"/>
        <w:snapToGrid w:val="0"/>
        <w:ind w:firstLine="480"/>
      </w:pPr>
      <w:r>
        <w:br w:type="page"/>
      </w:r>
    </w:p>
    <w:p>
      <w:pPr>
        <w:pStyle w:val="2"/>
        <w:keepNext w:val="0"/>
        <w:keepLines w:val="0"/>
        <w:adjustRightInd w:val="0"/>
        <w:snapToGrid w:val="0"/>
      </w:pPr>
      <w:r>
        <w:rPr>
          <w:rFonts w:hint="eastAsia"/>
        </w:rPr>
        <w:t xml:space="preserve"> 评分办法</w:t>
      </w:r>
    </w:p>
    <w:tbl>
      <w:tblPr>
        <w:tblStyle w:val="14"/>
        <w:tblW w:w="884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2225"/>
        <w:gridCol w:w="61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6" w:type="dxa"/>
          </w:tcPr>
          <w:p>
            <w:pPr>
              <w:pStyle w:val="16"/>
            </w:pPr>
            <w:r>
              <w:rPr>
                <w:rFonts w:hint="eastAsia"/>
              </w:rPr>
              <w:t>评审因素</w:t>
            </w:r>
          </w:p>
        </w:tc>
        <w:tc>
          <w:tcPr>
            <w:tcW w:w="8390" w:type="dxa"/>
            <w:gridSpan w:val="2"/>
          </w:tcPr>
          <w:p>
            <w:pPr>
              <w:pStyle w:val="16"/>
            </w:pPr>
            <w:r>
              <w:rPr>
                <w:rFonts w:hint="eastAsia"/>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6" w:type="dxa"/>
          </w:tcPr>
          <w:p>
            <w:pPr>
              <w:pStyle w:val="16"/>
            </w:pPr>
            <w:r>
              <w:rPr>
                <w:rFonts w:hint="eastAsia"/>
              </w:rPr>
              <w:t>分值构成</w:t>
            </w:r>
          </w:p>
        </w:tc>
        <w:tc>
          <w:tcPr>
            <w:tcW w:w="8390" w:type="dxa"/>
            <w:gridSpan w:val="2"/>
          </w:tcPr>
          <w:p>
            <w:pPr>
              <w:pStyle w:val="16"/>
            </w:pPr>
            <w:r>
              <w:rPr>
                <w:rFonts w:hint="eastAsia"/>
              </w:rPr>
              <w:t>商务部分40.0分</w:t>
            </w:r>
          </w:p>
          <w:p>
            <w:pPr>
              <w:pStyle w:val="16"/>
            </w:pPr>
            <w:r>
              <w:rPr>
                <w:rFonts w:hint="eastAsia"/>
              </w:rPr>
              <w:t>技术部分50.0分</w:t>
            </w:r>
          </w:p>
          <w:p>
            <w:pPr>
              <w:pStyle w:val="16"/>
            </w:pPr>
            <w:r>
              <w:rPr>
                <w:rFonts w:hint="eastAsia"/>
              </w:rPr>
              <w:t>报价得分10.0分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6" w:type="dxa"/>
            <w:vMerge w:val="restart"/>
          </w:tcPr>
          <w:p>
            <w:pPr>
              <w:pStyle w:val="16"/>
            </w:pPr>
            <w:r>
              <w:rPr>
                <w:rFonts w:hint="eastAsia"/>
              </w:rPr>
              <w:t>技术部分</w:t>
            </w:r>
          </w:p>
        </w:tc>
        <w:tc>
          <w:tcPr>
            <w:tcW w:w="2225" w:type="dxa"/>
          </w:tcPr>
          <w:p>
            <w:pPr>
              <w:pStyle w:val="16"/>
            </w:pPr>
            <w:r>
              <w:rPr>
                <w:rFonts w:hint="eastAsia"/>
              </w:rPr>
              <w:t>基于投标人的理解，对本项目进行分析，阐述对项目背景、</w:t>
            </w:r>
            <w:r>
              <w:rPr>
                <w:rFonts w:hint="eastAsia"/>
                <w:lang w:val="en-US"/>
              </w:rPr>
              <w:t>服务目标、维护重点难点理解</w:t>
            </w:r>
            <w:r>
              <w:rPr>
                <w:rFonts w:hint="eastAsia"/>
              </w:rPr>
              <w:t>等，提供项目分析方案。 (</w:t>
            </w:r>
            <w:r>
              <w:rPr>
                <w:rFonts w:hint="eastAsia"/>
                <w:lang w:val="en-US"/>
              </w:rPr>
              <w:t>8</w:t>
            </w:r>
            <w:r>
              <w:rPr>
                <w:rFonts w:hint="eastAsia"/>
              </w:rPr>
              <w:t>.0分)</w:t>
            </w:r>
          </w:p>
        </w:tc>
        <w:tc>
          <w:tcPr>
            <w:tcW w:w="6165" w:type="dxa"/>
          </w:tcPr>
          <w:p>
            <w:pPr>
              <w:pStyle w:val="16"/>
            </w:pPr>
            <w:r>
              <w:rPr>
                <w:rFonts w:hint="eastAsia"/>
              </w:rPr>
              <w:t>投标人能基于自身对项目的理解，按要求提供项目分析方案，方案包括项目背景、</w:t>
            </w:r>
            <w:r>
              <w:rPr>
                <w:rFonts w:hint="eastAsia"/>
                <w:lang w:val="en-US"/>
              </w:rPr>
              <w:t>服务目标、服务重点难点理解</w:t>
            </w:r>
            <w:r>
              <w:rPr>
                <w:rFonts w:hint="eastAsia"/>
              </w:rPr>
              <w:t>等。</w:t>
            </w:r>
          </w:p>
          <w:p>
            <w:pPr>
              <w:pStyle w:val="16"/>
            </w:pPr>
            <w:r>
              <w:rPr>
                <w:rFonts w:hint="eastAsia"/>
                <w:lang w:val="en-US"/>
              </w:rPr>
              <w:t>1.</w:t>
            </w:r>
            <w:r>
              <w:rPr>
                <w:rFonts w:hint="eastAsia"/>
              </w:rPr>
              <w:t>项目分析方案内容完整、详细、表述清晰、科学合理、切实可行、亮点多、针对性强，完全满足采购需求得</w:t>
            </w:r>
            <w:r>
              <w:rPr>
                <w:rFonts w:hint="eastAsia"/>
                <w:lang w:val="en-US"/>
              </w:rPr>
              <w:t>8</w:t>
            </w:r>
            <w:r>
              <w:rPr>
                <w:rFonts w:hint="eastAsia"/>
              </w:rPr>
              <w:t xml:space="preserve">分。 </w:t>
            </w:r>
          </w:p>
          <w:p>
            <w:pPr>
              <w:pStyle w:val="16"/>
            </w:pPr>
            <w:r>
              <w:rPr>
                <w:rFonts w:hint="eastAsia"/>
                <w:lang w:val="en-US"/>
              </w:rPr>
              <w:t>2.</w:t>
            </w:r>
            <w:r>
              <w:rPr>
                <w:rFonts w:hint="eastAsia"/>
              </w:rPr>
              <w:t>项目分析方案内容比较完整、详细、表述清晰、比较合理、可行，基本满足采购需求得</w:t>
            </w:r>
            <w:r>
              <w:rPr>
                <w:rFonts w:hint="eastAsia"/>
                <w:lang w:val="en-US"/>
              </w:rPr>
              <w:t>5</w:t>
            </w:r>
            <w:r>
              <w:rPr>
                <w:rFonts w:hint="eastAsia"/>
              </w:rPr>
              <w:t xml:space="preserve">分。 </w:t>
            </w:r>
          </w:p>
          <w:p>
            <w:pPr>
              <w:pStyle w:val="16"/>
            </w:pPr>
            <w:r>
              <w:rPr>
                <w:rFonts w:hint="eastAsia"/>
                <w:lang w:val="en-US"/>
              </w:rPr>
              <w:t>3.</w:t>
            </w:r>
            <w:r>
              <w:rPr>
                <w:rFonts w:hint="eastAsia"/>
              </w:rPr>
              <w:t>项目分析方案内容基本完整、详细、表述基本清晰、合理、可行性稍差，部分满足采购需求得</w:t>
            </w:r>
            <w:r>
              <w:rPr>
                <w:rFonts w:hint="eastAsia"/>
                <w:lang w:val="en-US"/>
              </w:rPr>
              <w:t>3</w:t>
            </w:r>
            <w:r>
              <w:rPr>
                <w:rFonts w:hint="eastAsia"/>
              </w:rPr>
              <w:t>分。</w:t>
            </w:r>
          </w:p>
          <w:p>
            <w:pPr>
              <w:pStyle w:val="16"/>
            </w:pPr>
            <w:r>
              <w:rPr>
                <w:rFonts w:hint="eastAsia"/>
                <w:lang w:val="en-US"/>
              </w:rPr>
              <w:t>4.</w:t>
            </w:r>
            <w:r>
              <w:rPr>
                <w:rFonts w:hint="eastAsia"/>
              </w:rPr>
              <w:t>没有提供方案或方案被评定为不可行的不得分。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6" w:type="dxa"/>
            <w:vMerge w:val="continue"/>
          </w:tcPr>
          <w:p>
            <w:pPr>
              <w:pStyle w:val="16"/>
            </w:pPr>
          </w:p>
        </w:tc>
        <w:tc>
          <w:tcPr>
            <w:tcW w:w="2225" w:type="dxa"/>
          </w:tcPr>
          <w:p>
            <w:pPr>
              <w:pStyle w:val="16"/>
            </w:pPr>
            <w:r>
              <w:rPr>
                <w:rFonts w:hint="eastAsia"/>
              </w:rPr>
              <w:t>基于投标人的理解，针对本项目</w:t>
            </w:r>
            <w:r>
              <w:rPr>
                <w:rFonts w:hint="eastAsia"/>
                <w:lang w:val="en-US"/>
              </w:rPr>
              <w:t>服务</w:t>
            </w:r>
            <w:r>
              <w:rPr>
                <w:rFonts w:hint="eastAsia"/>
              </w:rPr>
              <w:t>需求所有内容，提供</w:t>
            </w:r>
            <w:r>
              <w:rPr>
                <w:rFonts w:hint="eastAsia"/>
                <w:lang w:val="en-US"/>
              </w:rPr>
              <w:t>运维</w:t>
            </w:r>
            <w:r>
              <w:rPr>
                <w:rFonts w:hint="eastAsia"/>
              </w:rPr>
              <w:t>服务方案。 (1</w:t>
            </w:r>
            <w:r>
              <w:rPr>
                <w:rFonts w:hint="eastAsia"/>
                <w:lang w:val="en-US"/>
              </w:rPr>
              <w:t>2</w:t>
            </w:r>
            <w:r>
              <w:rPr>
                <w:rFonts w:hint="eastAsia"/>
              </w:rPr>
              <w:t>.0分)</w:t>
            </w:r>
          </w:p>
        </w:tc>
        <w:tc>
          <w:tcPr>
            <w:tcW w:w="6165" w:type="dxa"/>
          </w:tcPr>
          <w:p>
            <w:pPr>
              <w:pStyle w:val="16"/>
            </w:pPr>
            <w:r>
              <w:rPr>
                <w:rFonts w:hint="eastAsia"/>
              </w:rPr>
              <w:t>投标人能基于自身对项目的理解，按要求提供</w:t>
            </w:r>
            <w:r>
              <w:rPr>
                <w:rFonts w:hint="eastAsia"/>
                <w:lang w:val="en-US"/>
              </w:rPr>
              <w:t>运维</w:t>
            </w:r>
            <w:r>
              <w:rPr>
                <w:rFonts w:hint="eastAsia"/>
              </w:rPr>
              <w:t>服务方案，</w:t>
            </w:r>
            <w:r>
              <w:rPr>
                <w:rFonts w:hint="eastAsia"/>
                <w:lang w:val="en-US"/>
              </w:rPr>
              <w:t>方案包括服务内容、服务体系、服务方式、服务考核等，</w:t>
            </w:r>
            <w:r>
              <w:rPr>
                <w:rFonts w:hint="eastAsia"/>
              </w:rPr>
              <w:t>并针对</w:t>
            </w:r>
            <w:r>
              <w:rPr>
                <w:rFonts w:hint="eastAsia"/>
                <w:lang w:val="en-US"/>
              </w:rPr>
              <w:t>服务</w:t>
            </w:r>
            <w:r>
              <w:rPr>
                <w:rFonts w:hint="eastAsia"/>
              </w:rPr>
              <w:t>内容项阐述投标人的服务方案。</w:t>
            </w:r>
          </w:p>
          <w:p>
            <w:pPr>
              <w:pStyle w:val="16"/>
            </w:pPr>
            <w:r>
              <w:rPr>
                <w:rFonts w:hint="eastAsia"/>
                <w:lang w:val="en-US"/>
              </w:rPr>
              <w:t>1.运维</w:t>
            </w:r>
            <w:r>
              <w:rPr>
                <w:rFonts w:hint="eastAsia"/>
              </w:rPr>
              <w:t>服务方案内容完整、详细、表述清晰、科学合理、切实可行、亮点多、针对性强，完全满足采购需求得1</w:t>
            </w:r>
            <w:r>
              <w:rPr>
                <w:rFonts w:hint="eastAsia"/>
                <w:lang w:val="en-US"/>
              </w:rPr>
              <w:t>2</w:t>
            </w:r>
            <w:r>
              <w:rPr>
                <w:rFonts w:hint="eastAsia"/>
              </w:rPr>
              <w:t xml:space="preserve">分。 </w:t>
            </w:r>
          </w:p>
          <w:p>
            <w:pPr>
              <w:pStyle w:val="16"/>
            </w:pPr>
            <w:r>
              <w:rPr>
                <w:rFonts w:hint="eastAsia"/>
                <w:lang w:val="en-US"/>
              </w:rPr>
              <w:t>2.运维</w:t>
            </w:r>
            <w:r>
              <w:rPr>
                <w:rFonts w:hint="eastAsia"/>
              </w:rPr>
              <w:t>服务方案内容比较完整、详细、表述清晰、比较合理、可行，基本满足采购需求得</w:t>
            </w:r>
            <w:r>
              <w:rPr>
                <w:rFonts w:hint="eastAsia"/>
                <w:lang w:val="en-US"/>
              </w:rPr>
              <w:t>8</w:t>
            </w:r>
            <w:r>
              <w:rPr>
                <w:rFonts w:hint="eastAsia"/>
              </w:rPr>
              <w:t xml:space="preserve">分。 </w:t>
            </w:r>
          </w:p>
          <w:p>
            <w:pPr>
              <w:pStyle w:val="16"/>
            </w:pPr>
            <w:r>
              <w:rPr>
                <w:rFonts w:hint="eastAsia"/>
                <w:lang w:val="en-US"/>
              </w:rPr>
              <w:t>3.运维</w:t>
            </w:r>
            <w:r>
              <w:rPr>
                <w:rFonts w:hint="eastAsia"/>
              </w:rPr>
              <w:t>服务方案内容基本完整、详细、表述基本清晰、合理、可行性稍差，部分满足采购需求得4分。</w:t>
            </w:r>
          </w:p>
          <w:p>
            <w:pPr>
              <w:pStyle w:val="16"/>
            </w:pPr>
            <w:r>
              <w:rPr>
                <w:rFonts w:hint="eastAsia"/>
                <w:lang w:val="en-US"/>
              </w:rPr>
              <w:t>4.</w:t>
            </w:r>
            <w:r>
              <w:rPr>
                <w:rFonts w:hint="eastAsia"/>
              </w:rPr>
              <w:t>没有提供方案或方案被评定为不可行的不得分。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6" w:type="dxa"/>
            <w:vMerge w:val="continue"/>
          </w:tcPr>
          <w:p>
            <w:pPr>
              <w:pStyle w:val="16"/>
            </w:pPr>
          </w:p>
        </w:tc>
        <w:tc>
          <w:tcPr>
            <w:tcW w:w="2225" w:type="dxa"/>
          </w:tcPr>
          <w:p>
            <w:pPr>
              <w:pStyle w:val="16"/>
              <w:rPr>
                <w:highlight w:val="yellow"/>
              </w:rPr>
            </w:pPr>
            <w:r>
              <w:rPr>
                <w:rFonts w:hint="eastAsia"/>
              </w:rPr>
              <w:t>项目</w:t>
            </w:r>
            <w:r>
              <w:rPr>
                <w:rFonts w:hint="eastAsia"/>
                <w:lang w:val="en-US"/>
              </w:rPr>
              <w:t>运维服务</w:t>
            </w:r>
            <w:r>
              <w:rPr>
                <w:rFonts w:hint="eastAsia"/>
              </w:rPr>
              <w:t>管理：根据投标人对项目服务</w:t>
            </w:r>
            <w:r>
              <w:rPr>
                <w:rFonts w:hint="eastAsia"/>
                <w:lang w:val="en-US"/>
              </w:rPr>
              <w:t>人员管理</w:t>
            </w:r>
            <w:r>
              <w:rPr>
                <w:rFonts w:hint="eastAsia"/>
              </w:rPr>
              <w:t>、项目管理、</w:t>
            </w:r>
            <w:r>
              <w:rPr>
                <w:rFonts w:hint="eastAsia"/>
                <w:lang w:val="en-US"/>
              </w:rPr>
              <w:t>故障</w:t>
            </w:r>
            <w:r>
              <w:rPr>
                <w:rFonts w:hint="eastAsia"/>
              </w:rPr>
              <w:t>处理措施进行评分。 (5.0分)</w:t>
            </w:r>
          </w:p>
        </w:tc>
        <w:tc>
          <w:tcPr>
            <w:tcW w:w="6165" w:type="dxa"/>
          </w:tcPr>
          <w:p>
            <w:pPr>
              <w:pStyle w:val="16"/>
            </w:pPr>
            <w:r>
              <w:rPr>
                <w:rFonts w:hint="eastAsia"/>
              </w:rPr>
              <w:t>投标人能基于自身对项目的理解，按要求提供项目</w:t>
            </w:r>
            <w:r>
              <w:rPr>
                <w:rFonts w:hint="eastAsia"/>
                <w:lang w:val="en-US"/>
              </w:rPr>
              <w:t>运维</w:t>
            </w:r>
            <w:r>
              <w:rPr>
                <w:rFonts w:hint="eastAsia"/>
              </w:rPr>
              <w:t>管理方案，方案包括服务</w:t>
            </w:r>
            <w:r>
              <w:rPr>
                <w:rFonts w:hint="eastAsia"/>
                <w:lang w:val="en-US"/>
              </w:rPr>
              <w:t>人员管理</w:t>
            </w:r>
            <w:r>
              <w:rPr>
                <w:rFonts w:hint="eastAsia"/>
              </w:rPr>
              <w:t>、项目管理、</w:t>
            </w:r>
            <w:r>
              <w:rPr>
                <w:rFonts w:hint="eastAsia"/>
                <w:lang w:val="en-US"/>
              </w:rPr>
              <w:t>故障</w:t>
            </w:r>
            <w:r>
              <w:rPr>
                <w:rFonts w:hint="eastAsia"/>
              </w:rPr>
              <w:t>处理措施等。</w:t>
            </w:r>
          </w:p>
          <w:p>
            <w:pPr>
              <w:pStyle w:val="16"/>
            </w:pPr>
            <w:r>
              <w:rPr>
                <w:rFonts w:hint="eastAsia"/>
                <w:lang w:val="en-US"/>
              </w:rPr>
              <w:t>1.服务</w:t>
            </w:r>
            <w:r>
              <w:rPr>
                <w:rFonts w:hint="eastAsia"/>
              </w:rPr>
              <w:t xml:space="preserve">管理方案内容完整、详细、表述清晰、科学合理、切实可行、亮点多、针对性强，完全满足采购需求得5分。 </w:t>
            </w:r>
          </w:p>
          <w:p>
            <w:pPr>
              <w:pStyle w:val="16"/>
            </w:pPr>
            <w:r>
              <w:rPr>
                <w:rFonts w:hint="eastAsia"/>
                <w:lang w:val="en-US"/>
              </w:rPr>
              <w:t>2.服务</w:t>
            </w:r>
            <w:r>
              <w:rPr>
                <w:rFonts w:hint="eastAsia"/>
              </w:rPr>
              <w:t>管理方案内容比较完整、详细、表述清晰、比较合理、可行，基本满足采购需求得</w:t>
            </w:r>
            <w:r>
              <w:rPr>
                <w:rFonts w:hint="eastAsia"/>
                <w:lang w:val="en-US"/>
              </w:rPr>
              <w:t>3</w:t>
            </w:r>
            <w:r>
              <w:rPr>
                <w:rFonts w:hint="eastAsia"/>
              </w:rPr>
              <w:t xml:space="preserve">分。 </w:t>
            </w:r>
          </w:p>
          <w:p>
            <w:pPr>
              <w:pStyle w:val="16"/>
            </w:pPr>
            <w:r>
              <w:rPr>
                <w:rFonts w:hint="eastAsia"/>
                <w:lang w:val="en-US"/>
              </w:rPr>
              <w:t>3.服务</w:t>
            </w:r>
            <w:r>
              <w:rPr>
                <w:rFonts w:hint="eastAsia"/>
              </w:rPr>
              <w:t xml:space="preserve">管理方案内容基本完整、详细、表述基本清晰、合理、可行性稍差，部分满足采购需求得1分。 </w:t>
            </w:r>
          </w:p>
          <w:p>
            <w:pPr>
              <w:pStyle w:val="16"/>
              <w:rPr>
                <w:highlight w:val="yellow"/>
              </w:rPr>
            </w:pPr>
            <w:r>
              <w:rPr>
                <w:rFonts w:hint="eastAsia"/>
                <w:lang w:val="en-US"/>
              </w:rPr>
              <w:t>4.</w:t>
            </w:r>
            <w:r>
              <w:rPr>
                <w:rFonts w:hint="eastAsia"/>
              </w:rPr>
              <w:t>没有提供方案或方案被评定为不可行的不得分。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6" w:type="dxa"/>
            <w:vMerge w:val="continue"/>
          </w:tcPr>
          <w:p>
            <w:pPr>
              <w:pStyle w:val="16"/>
            </w:pPr>
          </w:p>
        </w:tc>
        <w:tc>
          <w:tcPr>
            <w:tcW w:w="2225" w:type="dxa"/>
          </w:tcPr>
          <w:p>
            <w:pPr>
              <w:pStyle w:val="16"/>
            </w:pPr>
            <w:r>
              <w:rPr>
                <w:rFonts w:hint="eastAsia"/>
              </w:rPr>
              <w:t>基于投标人的理解，阐述对本项目的质量保证，需符合本项目实际，措施完善、内容具体完善、可适应性强，提供质量保证措施方案。 (</w:t>
            </w:r>
            <w:r>
              <w:rPr>
                <w:rFonts w:hint="eastAsia"/>
                <w:lang w:val="en-US"/>
              </w:rPr>
              <w:t>6</w:t>
            </w:r>
            <w:r>
              <w:rPr>
                <w:rFonts w:hint="eastAsia"/>
              </w:rPr>
              <w:t>.0分)</w:t>
            </w:r>
          </w:p>
        </w:tc>
        <w:tc>
          <w:tcPr>
            <w:tcW w:w="6165" w:type="dxa"/>
          </w:tcPr>
          <w:p>
            <w:pPr>
              <w:pStyle w:val="16"/>
            </w:pPr>
            <w:r>
              <w:rPr>
                <w:rFonts w:hint="eastAsia"/>
              </w:rPr>
              <w:t>投标人能基于自身对项目的理解，按要求提供质量保证措施方案，方案包括质量目标、保障体系、管理措施等。</w:t>
            </w:r>
          </w:p>
          <w:p>
            <w:pPr>
              <w:pStyle w:val="16"/>
            </w:pPr>
            <w:r>
              <w:rPr>
                <w:rFonts w:hint="eastAsia"/>
                <w:lang w:val="en-US"/>
              </w:rPr>
              <w:t>1.</w:t>
            </w:r>
            <w:r>
              <w:rPr>
                <w:rFonts w:hint="eastAsia"/>
              </w:rPr>
              <w:t>质量保证措施方案内容完整、详细、表述清晰、科学合理、切实可行、亮点多、针对性强，完全满足采购需求得</w:t>
            </w:r>
            <w:r>
              <w:rPr>
                <w:rFonts w:hint="eastAsia"/>
                <w:lang w:val="en-US"/>
              </w:rPr>
              <w:t>6</w:t>
            </w:r>
            <w:r>
              <w:rPr>
                <w:rFonts w:hint="eastAsia"/>
              </w:rPr>
              <w:t>分。</w:t>
            </w:r>
          </w:p>
          <w:p>
            <w:pPr>
              <w:pStyle w:val="16"/>
            </w:pPr>
            <w:r>
              <w:rPr>
                <w:rFonts w:hint="eastAsia"/>
                <w:lang w:val="en-US"/>
              </w:rPr>
              <w:t>2.</w:t>
            </w:r>
            <w:r>
              <w:rPr>
                <w:rFonts w:hint="eastAsia"/>
              </w:rPr>
              <w:t>质量保证措施方案内容比较完整、详细、表述清晰、比较合理、可行，基本满足采购需求得</w:t>
            </w:r>
            <w:r>
              <w:rPr>
                <w:rFonts w:hint="eastAsia"/>
                <w:lang w:val="en-US"/>
              </w:rPr>
              <w:t>4</w:t>
            </w:r>
            <w:r>
              <w:rPr>
                <w:rFonts w:hint="eastAsia"/>
              </w:rPr>
              <w:t xml:space="preserve">分。 </w:t>
            </w:r>
          </w:p>
          <w:p>
            <w:pPr>
              <w:pStyle w:val="16"/>
            </w:pPr>
            <w:r>
              <w:rPr>
                <w:rFonts w:hint="eastAsia"/>
                <w:lang w:val="en-US"/>
              </w:rPr>
              <w:t>3.</w:t>
            </w:r>
            <w:r>
              <w:rPr>
                <w:rFonts w:hint="eastAsia"/>
              </w:rPr>
              <w:t>质量保证措施方案内容基本完整、详细、表述基本清晰、合理、可行性稍差，部分满足采购需求得</w:t>
            </w:r>
            <w:r>
              <w:rPr>
                <w:rFonts w:hint="eastAsia"/>
                <w:lang w:val="en-US"/>
              </w:rPr>
              <w:t>2</w:t>
            </w:r>
            <w:r>
              <w:rPr>
                <w:rFonts w:hint="eastAsia"/>
              </w:rPr>
              <w:t xml:space="preserve">分。 </w:t>
            </w:r>
          </w:p>
          <w:p>
            <w:pPr>
              <w:pStyle w:val="16"/>
            </w:pPr>
            <w:r>
              <w:rPr>
                <w:rFonts w:hint="eastAsia"/>
                <w:lang w:val="en-US"/>
              </w:rPr>
              <w:t>4.</w:t>
            </w:r>
            <w:r>
              <w:rPr>
                <w:rFonts w:hint="eastAsia"/>
              </w:rPr>
              <w:t>没有提供方案或方案被评定为不可行的不得分。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6" w:type="dxa"/>
            <w:vMerge w:val="continue"/>
          </w:tcPr>
          <w:p>
            <w:pPr>
              <w:pStyle w:val="16"/>
            </w:pPr>
          </w:p>
        </w:tc>
        <w:tc>
          <w:tcPr>
            <w:tcW w:w="2225" w:type="dxa"/>
          </w:tcPr>
          <w:p>
            <w:pPr>
              <w:pStyle w:val="16"/>
            </w:pPr>
            <w:r>
              <w:rPr>
                <w:rFonts w:hint="eastAsia"/>
              </w:rPr>
              <w:t>基于投标人的理解，阐述对本项目的安全保证，需符合本项目实际，措施完善、内容具体完善、可适应性强，提供安全保证措施方案。 (</w:t>
            </w:r>
            <w:r>
              <w:rPr>
                <w:rFonts w:hint="eastAsia"/>
                <w:lang w:val="en-US"/>
              </w:rPr>
              <w:t>6</w:t>
            </w:r>
            <w:r>
              <w:rPr>
                <w:rFonts w:hint="eastAsia"/>
              </w:rPr>
              <w:t>.0分)</w:t>
            </w:r>
          </w:p>
        </w:tc>
        <w:tc>
          <w:tcPr>
            <w:tcW w:w="6165" w:type="dxa"/>
          </w:tcPr>
          <w:p>
            <w:pPr>
              <w:pStyle w:val="16"/>
            </w:pPr>
            <w:r>
              <w:rPr>
                <w:rFonts w:hint="eastAsia"/>
              </w:rPr>
              <w:t>投标人能基于自身对项目的理解，按要求提供安全保证措施方案，方案包括</w:t>
            </w:r>
            <w:r>
              <w:rPr>
                <w:rFonts w:hint="eastAsia"/>
                <w:lang w:val="en-US"/>
              </w:rPr>
              <w:t>运维安全管理</w:t>
            </w:r>
            <w:r>
              <w:rPr>
                <w:rFonts w:hint="eastAsia"/>
              </w:rPr>
              <w:t>、</w:t>
            </w:r>
            <w:r>
              <w:rPr>
                <w:rFonts w:hint="eastAsia"/>
                <w:lang w:val="en-US"/>
              </w:rPr>
              <w:t>数据管理、人员安全管理</w:t>
            </w:r>
            <w:r>
              <w:rPr>
                <w:rFonts w:hint="eastAsia"/>
              </w:rPr>
              <w:t>等。</w:t>
            </w:r>
          </w:p>
          <w:p>
            <w:pPr>
              <w:pStyle w:val="16"/>
            </w:pPr>
            <w:r>
              <w:rPr>
                <w:rFonts w:hint="eastAsia"/>
                <w:lang w:val="en-US"/>
              </w:rPr>
              <w:t>1.</w:t>
            </w:r>
            <w:r>
              <w:rPr>
                <w:rFonts w:hint="eastAsia"/>
              </w:rPr>
              <w:t>安全保证措施方案内容完整、详细、表述清晰、科学合理、切实可行、亮点多、针对性强，完全满足采购需求得</w:t>
            </w:r>
            <w:r>
              <w:rPr>
                <w:rFonts w:hint="eastAsia"/>
                <w:lang w:val="en-US"/>
              </w:rPr>
              <w:t>6</w:t>
            </w:r>
            <w:r>
              <w:rPr>
                <w:rFonts w:hint="eastAsia"/>
              </w:rPr>
              <w:t xml:space="preserve">分。 </w:t>
            </w:r>
          </w:p>
          <w:p>
            <w:pPr>
              <w:pStyle w:val="16"/>
            </w:pPr>
            <w:r>
              <w:rPr>
                <w:rFonts w:hint="eastAsia"/>
                <w:lang w:val="en-US"/>
              </w:rPr>
              <w:t>2.</w:t>
            </w:r>
            <w:r>
              <w:rPr>
                <w:rFonts w:hint="eastAsia"/>
              </w:rPr>
              <w:t>安全保证措施方案内容比较完整、详细、表述清晰、比较合理、可行，基本满足采购需求得</w:t>
            </w:r>
            <w:r>
              <w:rPr>
                <w:rFonts w:hint="eastAsia"/>
                <w:lang w:val="en-US"/>
              </w:rPr>
              <w:t>4</w:t>
            </w:r>
            <w:r>
              <w:rPr>
                <w:rFonts w:hint="eastAsia"/>
              </w:rPr>
              <w:t xml:space="preserve">分。 </w:t>
            </w:r>
          </w:p>
          <w:p>
            <w:pPr>
              <w:pStyle w:val="16"/>
            </w:pPr>
            <w:r>
              <w:rPr>
                <w:rFonts w:hint="eastAsia"/>
                <w:lang w:val="en-US"/>
              </w:rPr>
              <w:t>3.</w:t>
            </w:r>
            <w:r>
              <w:rPr>
                <w:rFonts w:hint="eastAsia"/>
              </w:rPr>
              <w:t>安全保证措施方案内容基本完整、详细、表述基本清晰、合理、可行性稍差，部分满足采购需求得</w:t>
            </w:r>
            <w:r>
              <w:rPr>
                <w:rFonts w:hint="eastAsia"/>
                <w:lang w:val="en-US"/>
              </w:rPr>
              <w:t>2</w:t>
            </w:r>
            <w:r>
              <w:rPr>
                <w:rFonts w:hint="eastAsia"/>
              </w:rPr>
              <w:t xml:space="preserve">分。 </w:t>
            </w:r>
          </w:p>
          <w:p>
            <w:pPr>
              <w:pStyle w:val="16"/>
            </w:pPr>
            <w:r>
              <w:rPr>
                <w:rFonts w:hint="eastAsia"/>
                <w:lang w:val="en-US"/>
              </w:rPr>
              <w:t>4.</w:t>
            </w:r>
            <w:r>
              <w:rPr>
                <w:rFonts w:hint="eastAsia"/>
              </w:rPr>
              <w:t>没有提供方案或方案被评定为不可行的不得分。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6" w:type="dxa"/>
            <w:vMerge w:val="continue"/>
          </w:tcPr>
          <w:p>
            <w:pPr>
              <w:pStyle w:val="16"/>
            </w:pPr>
          </w:p>
        </w:tc>
        <w:tc>
          <w:tcPr>
            <w:tcW w:w="2225" w:type="dxa"/>
          </w:tcPr>
          <w:p>
            <w:pPr>
              <w:pStyle w:val="16"/>
            </w:pPr>
            <w:r>
              <w:rPr>
                <w:rFonts w:hint="eastAsia"/>
              </w:rPr>
              <w:t>动态风险检测能力 (8.0分)</w:t>
            </w:r>
          </w:p>
        </w:tc>
        <w:tc>
          <w:tcPr>
            <w:tcW w:w="6165" w:type="dxa"/>
          </w:tcPr>
          <w:p>
            <w:pPr>
              <w:pStyle w:val="16"/>
            </w:pPr>
            <w:r>
              <w:rPr>
                <w:rFonts w:hint="eastAsia"/>
              </w:rPr>
              <w:t>为保障系统的安全，本项目要求供应商充分掌握动态认证的风险检测方法，提供动态认证的风险检测方案和证明材料，主动、提前对项目风险进行防控及处理。</w:t>
            </w:r>
          </w:p>
          <w:p>
            <w:pPr>
              <w:pStyle w:val="16"/>
            </w:pPr>
            <w:r>
              <w:rPr>
                <w:rFonts w:hint="eastAsia"/>
                <w:lang w:val="en-US"/>
              </w:rPr>
              <w:t>1.</w:t>
            </w:r>
            <w:r>
              <w:rPr>
                <w:rFonts w:hint="eastAsia"/>
              </w:rPr>
              <w:t>提供证明材料且内容合理，能够证明其动态风险检测能力的得</w:t>
            </w:r>
            <w:r>
              <w:rPr>
                <w:rFonts w:hint="eastAsia"/>
                <w:lang w:val="en-US"/>
              </w:rPr>
              <w:t>3</w:t>
            </w:r>
            <w:r>
              <w:rPr>
                <w:rFonts w:hint="eastAsia"/>
              </w:rPr>
              <w:t>分；</w:t>
            </w:r>
          </w:p>
          <w:p>
            <w:pPr>
              <w:pStyle w:val="16"/>
            </w:pPr>
            <w:r>
              <w:rPr>
                <w:rFonts w:hint="eastAsia"/>
                <w:lang w:val="en-US"/>
              </w:rPr>
              <w:t>2.</w:t>
            </w:r>
            <w:r>
              <w:rPr>
                <w:rFonts w:hint="eastAsia"/>
              </w:rPr>
              <w:t>提供动态认证的风险检测方案</w:t>
            </w:r>
          </w:p>
          <w:p>
            <w:pPr>
              <w:pStyle w:val="16"/>
            </w:pPr>
            <w:r>
              <w:rPr>
                <w:rFonts w:hint="eastAsia"/>
              </w:rPr>
              <w:t>方案内容完整、详细、表述清晰、科学合理、切实可行、亮点多、针对性强，完全满足采购需求得</w:t>
            </w:r>
            <w:r>
              <w:rPr>
                <w:rFonts w:hint="eastAsia"/>
                <w:lang w:val="en-US"/>
              </w:rPr>
              <w:t>5</w:t>
            </w:r>
            <w:r>
              <w:rPr>
                <w:rFonts w:hint="eastAsia"/>
              </w:rPr>
              <w:t xml:space="preserve">分。 </w:t>
            </w:r>
          </w:p>
          <w:p>
            <w:pPr>
              <w:pStyle w:val="16"/>
            </w:pPr>
            <w:r>
              <w:rPr>
                <w:rFonts w:hint="eastAsia"/>
              </w:rPr>
              <w:t>方案内容比较完整、详细、表述清晰、比较合理、可行，基本满足采购需求得</w:t>
            </w:r>
            <w:r>
              <w:rPr>
                <w:rFonts w:hint="eastAsia"/>
                <w:lang w:val="en-US"/>
              </w:rPr>
              <w:t>3</w:t>
            </w:r>
            <w:r>
              <w:rPr>
                <w:rFonts w:hint="eastAsia"/>
              </w:rPr>
              <w:t xml:space="preserve">分。 </w:t>
            </w:r>
          </w:p>
          <w:p>
            <w:pPr>
              <w:pStyle w:val="16"/>
            </w:pPr>
            <w:r>
              <w:rPr>
                <w:rFonts w:hint="eastAsia"/>
              </w:rPr>
              <w:t>方案内容基本完整、详细、表述基本清晰、合理、可行性稍差，部分满足采购需求得</w:t>
            </w:r>
            <w:r>
              <w:rPr>
                <w:rFonts w:hint="eastAsia"/>
                <w:lang w:val="en-US"/>
              </w:rPr>
              <w:t>1</w:t>
            </w:r>
            <w:r>
              <w:rPr>
                <w:rFonts w:hint="eastAsia"/>
              </w:rPr>
              <w:t xml:space="preserve">分。 </w:t>
            </w:r>
          </w:p>
          <w:p>
            <w:pPr>
              <w:pStyle w:val="16"/>
            </w:pPr>
            <w:r>
              <w:rPr>
                <w:rFonts w:hint="eastAsia"/>
              </w:rPr>
              <w:t>没有提供方案或方案被评定为不可行的不得分。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6" w:type="dxa"/>
            <w:vMerge w:val="continue"/>
          </w:tcPr>
          <w:p>
            <w:pPr>
              <w:pStyle w:val="16"/>
            </w:pPr>
          </w:p>
        </w:tc>
        <w:tc>
          <w:tcPr>
            <w:tcW w:w="2225" w:type="dxa"/>
          </w:tcPr>
          <w:p>
            <w:pPr>
              <w:pStyle w:val="16"/>
            </w:pPr>
            <w:r>
              <w:rPr>
                <w:rFonts w:hint="eastAsia"/>
              </w:rPr>
              <w:t>根据投标人</w:t>
            </w:r>
            <w:r>
              <w:rPr>
                <w:rFonts w:hint="eastAsia"/>
                <w:lang w:val="en-US"/>
              </w:rPr>
              <w:t>应急保障</w:t>
            </w:r>
            <w:r>
              <w:rPr>
                <w:rFonts w:hint="eastAsia"/>
              </w:rPr>
              <w:t>方案的内容等情况进行评分。 (</w:t>
            </w:r>
            <w:r>
              <w:rPr>
                <w:rFonts w:hint="eastAsia"/>
                <w:lang w:val="en-US"/>
              </w:rPr>
              <w:t>5</w:t>
            </w:r>
            <w:r>
              <w:rPr>
                <w:rFonts w:hint="eastAsia"/>
              </w:rPr>
              <w:t>.0分)</w:t>
            </w:r>
          </w:p>
        </w:tc>
        <w:tc>
          <w:tcPr>
            <w:tcW w:w="6165" w:type="dxa"/>
          </w:tcPr>
          <w:p>
            <w:pPr>
              <w:pStyle w:val="16"/>
            </w:pPr>
            <w:r>
              <w:rPr>
                <w:rFonts w:hint="eastAsia"/>
              </w:rPr>
              <w:t>投标人能基于自身对项目的理解，按要求提供</w:t>
            </w:r>
            <w:r>
              <w:rPr>
                <w:rFonts w:hint="eastAsia"/>
                <w:lang w:val="en-US"/>
              </w:rPr>
              <w:t>应急保障</w:t>
            </w:r>
            <w:r>
              <w:rPr>
                <w:rFonts w:hint="eastAsia"/>
              </w:rPr>
              <w:t>方案，方案包括</w:t>
            </w:r>
            <w:r>
              <w:t>应急处理流程、应急响应</w:t>
            </w:r>
            <w:r>
              <w:rPr>
                <w:rFonts w:hint="eastAsia"/>
              </w:rPr>
              <w:t>等。</w:t>
            </w:r>
          </w:p>
          <w:p>
            <w:pPr>
              <w:pStyle w:val="16"/>
              <w:rPr>
                <w:lang w:val="en-US"/>
              </w:rPr>
            </w:pPr>
            <w:r>
              <w:rPr>
                <w:rFonts w:hint="eastAsia"/>
                <w:lang w:val="en-US"/>
              </w:rPr>
              <w:t>1.应急保障</w:t>
            </w:r>
            <w:r>
              <w:rPr>
                <w:rFonts w:hint="eastAsia"/>
              </w:rPr>
              <w:t>方案内容完整、详细、表述清晰、科学合理、切实可行、亮点多、针对性强，完全满足采购需求得</w:t>
            </w:r>
            <w:r>
              <w:rPr>
                <w:rFonts w:hint="eastAsia"/>
                <w:lang w:val="en-US"/>
              </w:rPr>
              <w:t>5</w:t>
            </w:r>
            <w:r>
              <w:rPr>
                <w:rFonts w:hint="eastAsia"/>
              </w:rPr>
              <w:t xml:space="preserve">分。 </w:t>
            </w:r>
          </w:p>
          <w:p>
            <w:pPr>
              <w:pStyle w:val="16"/>
            </w:pPr>
            <w:r>
              <w:rPr>
                <w:rFonts w:hint="eastAsia"/>
                <w:lang w:val="en-US"/>
              </w:rPr>
              <w:t>2.应急保障</w:t>
            </w:r>
            <w:r>
              <w:rPr>
                <w:rFonts w:hint="eastAsia"/>
              </w:rPr>
              <w:t>方案内容比较完整、详细、表述清晰、比较合理、可行，基本满足采购需求得</w:t>
            </w:r>
            <w:r>
              <w:rPr>
                <w:rFonts w:hint="eastAsia"/>
                <w:lang w:val="en-US"/>
              </w:rPr>
              <w:t>3</w:t>
            </w:r>
            <w:r>
              <w:rPr>
                <w:rFonts w:hint="eastAsia"/>
              </w:rPr>
              <w:t xml:space="preserve">分。 </w:t>
            </w:r>
          </w:p>
          <w:p>
            <w:pPr>
              <w:pStyle w:val="16"/>
            </w:pPr>
            <w:r>
              <w:rPr>
                <w:rFonts w:hint="eastAsia"/>
                <w:lang w:val="en-US"/>
              </w:rPr>
              <w:t>3.应急保障</w:t>
            </w:r>
            <w:r>
              <w:rPr>
                <w:rFonts w:hint="eastAsia"/>
              </w:rPr>
              <w:t>方案内容基本完整、详细、表述基本清晰、合理、可行性稍差，部分满足采购需求得</w:t>
            </w:r>
            <w:r>
              <w:rPr>
                <w:rFonts w:hint="eastAsia"/>
                <w:lang w:val="en-US"/>
              </w:rPr>
              <w:t>1</w:t>
            </w:r>
            <w:r>
              <w:rPr>
                <w:rFonts w:hint="eastAsia"/>
              </w:rPr>
              <w:t xml:space="preserve">分。 </w:t>
            </w:r>
          </w:p>
          <w:p>
            <w:pPr>
              <w:pStyle w:val="16"/>
            </w:pPr>
            <w:r>
              <w:rPr>
                <w:rFonts w:hint="eastAsia"/>
                <w:lang w:val="en-US"/>
              </w:rPr>
              <w:t>4.</w:t>
            </w:r>
            <w:r>
              <w:rPr>
                <w:rFonts w:hint="eastAsia"/>
              </w:rPr>
              <w:t>没有提供方案或方案被评定为不可行的不得分。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6" w:type="dxa"/>
            <w:vMerge w:val="restart"/>
          </w:tcPr>
          <w:p>
            <w:pPr>
              <w:pStyle w:val="16"/>
            </w:pPr>
            <w:r>
              <w:rPr>
                <w:rFonts w:hint="eastAsia"/>
              </w:rPr>
              <w:t>商务部分</w:t>
            </w:r>
          </w:p>
        </w:tc>
        <w:tc>
          <w:tcPr>
            <w:tcW w:w="2225" w:type="dxa"/>
          </w:tcPr>
          <w:p>
            <w:pPr>
              <w:pStyle w:val="16"/>
            </w:pPr>
            <w:r>
              <w:rPr>
                <w:rFonts w:hint="eastAsia"/>
              </w:rPr>
              <w:t>根据投标人获得（取得）的资质或认证情况进行评分。 (1</w:t>
            </w:r>
            <w:r>
              <w:rPr>
                <w:rFonts w:hint="eastAsia"/>
                <w:lang w:val="en-US" w:eastAsia="zh-CN"/>
              </w:rPr>
              <w:t>5</w:t>
            </w:r>
            <w:r>
              <w:rPr>
                <w:rFonts w:hint="eastAsia"/>
              </w:rPr>
              <w:t>.0分)</w:t>
            </w:r>
          </w:p>
        </w:tc>
        <w:tc>
          <w:tcPr>
            <w:tcW w:w="6165" w:type="dxa"/>
          </w:tcPr>
          <w:p>
            <w:pPr>
              <w:pStyle w:val="16"/>
            </w:pPr>
            <w:r>
              <w:rPr>
                <w:rFonts w:hint="eastAsia"/>
                <w:lang w:val="en-US"/>
              </w:rPr>
              <w:t>1.供应商具有</w:t>
            </w:r>
            <w:r>
              <w:rPr>
                <w:rFonts w:hint="eastAsia"/>
              </w:rPr>
              <w:t>知识产权管理体系认证证书（范围包含软件开发和服务）得3分。</w:t>
            </w:r>
          </w:p>
          <w:p>
            <w:pPr>
              <w:pStyle w:val="16"/>
            </w:pPr>
            <w:r>
              <w:rPr>
                <w:rFonts w:hint="eastAsia"/>
                <w:lang w:val="en-US" w:eastAsia="zh-CN"/>
              </w:rPr>
              <w:t>2</w:t>
            </w:r>
            <w:r>
              <w:rPr>
                <w:rFonts w:hint="eastAsia"/>
                <w:lang w:val="en-US"/>
              </w:rPr>
              <w:t>.供应商具有</w:t>
            </w:r>
            <w:r>
              <w:rPr>
                <w:rFonts w:hint="eastAsia"/>
              </w:rPr>
              <w:t>ISO9001质量管理体系认证证书、ISO 22301业务连续性管理体系认证证书、</w:t>
            </w:r>
            <w:r>
              <w:rPr>
                <w:rFonts w:hint="eastAsia"/>
                <w:lang w:val="en-US"/>
              </w:rPr>
              <w:t>ISO29151通用个人信息保护管理体系证书、ISO27701隐私信息管理体系认证证书</w:t>
            </w:r>
            <w:r>
              <w:rPr>
                <w:rFonts w:hint="eastAsia"/>
              </w:rPr>
              <w:t>每项得1分，满分得</w:t>
            </w:r>
            <w:r>
              <w:rPr>
                <w:rFonts w:hint="eastAsia"/>
                <w:lang w:val="en-US"/>
              </w:rPr>
              <w:t>4</w:t>
            </w:r>
            <w:r>
              <w:rPr>
                <w:rFonts w:hint="eastAsia"/>
              </w:rPr>
              <w:t>分，提供证书扫描件证明材料。</w:t>
            </w:r>
          </w:p>
          <w:p>
            <w:pPr>
              <w:pStyle w:val="16"/>
            </w:pPr>
            <w:r>
              <w:rPr>
                <w:rFonts w:hint="eastAsia"/>
                <w:lang w:val="en-US" w:eastAsia="zh-CN"/>
              </w:rPr>
              <w:t>3</w:t>
            </w:r>
            <w:r>
              <w:rPr>
                <w:rFonts w:hint="eastAsia"/>
                <w:lang w:val="en-US"/>
              </w:rPr>
              <w:t>.供应商</w:t>
            </w:r>
            <w:r>
              <w:rPr>
                <w:rFonts w:hint="eastAsia"/>
              </w:rPr>
              <w:t>具有CCRC信息安全服务资质认证证书（信息系统安全集成、</w:t>
            </w:r>
            <w:r>
              <w:rPr>
                <w:rFonts w:hint="eastAsia"/>
                <w:lang w:val="en-US" w:eastAsia="zh-CN"/>
              </w:rPr>
              <w:t>信息系统</w:t>
            </w:r>
            <w:r>
              <w:rPr>
                <w:rFonts w:hint="eastAsia"/>
              </w:rPr>
              <w:t>安全运维</w:t>
            </w:r>
            <w:r>
              <w:rPr>
                <w:rFonts w:hint="eastAsia"/>
                <w:lang w:eastAsia="zh-CN"/>
              </w:rPr>
              <w:t>、</w:t>
            </w:r>
            <w:r>
              <w:rPr>
                <w:rFonts w:hint="eastAsia"/>
                <w:lang w:val="en-US" w:eastAsia="zh-CN"/>
              </w:rPr>
              <w:t>软件安全开发</w:t>
            </w:r>
            <w:r>
              <w:rPr>
                <w:rFonts w:hint="eastAsia"/>
              </w:rPr>
              <w:t>），每提供一个一级证书得</w:t>
            </w:r>
            <w:r>
              <w:rPr>
                <w:rFonts w:hint="eastAsia"/>
                <w:lang w:val="en-US"/>
              </w:rPr>
              <w:t>2</w:t>
            </w:r>
            <w:r>
              <w:rPr>
                <w:rFonts w:hint="eastAsia"/>
              </w:rPr>
              <w:t>分，每提供一个二级证书得</w:t>
            </w:r>
            <w:r>
              <w:rPr>
                <w:rFonts w:hint="eastAsia"/>
                <w:lang w:val="en-US"/>
              </w:rPr>
              <w:t>1</w:t>
            </w:r>
            <w:r>
              <w:rPr>
                <w:rFonts w:hint="eastAsia"/>
              </w:rPr>
              <w:t>分，最多得</w:t>
            </w:r>
            <w:r>
              <w:rPr>
                <w:rFonts w:hint="eastAsia"/>
                <w:lang w:val="en-US" w:eastAsia="zh-CN"/>
              </w:rPr>
              <w:t>6</w:t>
            </w:r>
            <w:r>
              <w:rPr>
                <w:rFonts w:hint="eastAsia"/>
              </w:rPr>
              <w:t>分</w:t>
            </w:r>
          </w:p>
          <w:p>
            <w:pPr>
              <w:pStyle w:val="16"/>
            </w:pPr>
            <w:r>
              <w:rPr>
                <w:rFonts w:hint="eastAsia"/>
                <w:lang w:val="en-US" w:eastAsia="zh-CN"/>
              </w:rPr>
              <w:t>4</w:t>
            </w:r>
            <w:r>
              <w:rPr>
                <w:rFonts w:hint="eastAsia"/>
                <w:lang w:val="en-US"/>
              </w:rPr>
              <w:t>.供应商具有</w:t>
            </w:r>
            <w:r>
              <w:rPr>
                <w:rFonts w:hint="eastAsia"/>
              </w:rPr>
              <w:t>运维监控著作权证书、远程视频协助服务著作权证书每项得</w:t>
            </w:r>
            <w:r>
              <w:rPr>
                <w:rFonts w:hint="eastAsia"/>
                <w:lang w:val="en-US"/>
              </w:rPr>
              <w:t>1</w:t>
            </w:r>
            <w:r>
              <w:rPr>
                <w:rFonts w:hint="eastAsia"/>
              </w:rPr>
              <w:t>分，满分</w:t>
            </w:r>
            <w:r>
              <w:rPr>
                <w:rFonts w:hint="eastAsia"/>
                <w:lang w:val="en-US"/>
              </w:rPr>
              <w:t>2</w:t>
            </w:r>
            <w:r>
              <w:rPr>
                <w:rFonts w:hint="eastAsia"/>
              </w:rPr>
              <w:t>分，提供证书扫描件。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6" w:type="dxa"/>
            <w:vMerge w:val="continue"/>
          </w:tcPr>
          <w:p>
            <w:pPr>
              <w:pStyle w:val="16"/>
            </w:pPr>
          </w:p>
        </w:tc>
        <w:tc>
          <w:tcPr>
            <w:tcW w:w="2225" w:type="dxa"/>
          </w:tcPr>
          <w:p>
            <w:pPr>
              <w:pStyle w:val="16"/>
            </w:pPr>
            <w:r>
              <w:rPr>
                <w:rFonts w:hint="eastAsia"/>
              </w:rPr>
              <w:t>类似项目经验：投标人具有</w:t>
            </w:r>
            <w:r>
              <w:rPr>
                <w:rFonts w:hint="eastAsia"/>
                <w:lang w:val="en-US"/>
              </w:rPr>
              <w:t>系统运维</w:t>
            </w:r>
            <w:r>
              <w:rPr>
                <w:rFonts w:hint="eastAsia"/>
              </w:rPr>
              <w:t>业绩合同或验收报告情况 (4.0分)</w:t>
            </w:r>
          </w:p>
        </w:tc>
        <w:tc>
          <w:tcPr>
            <w:tcW w:w="6165" w:type="dxa"/>
          </w:tcPr>
          <w:p>
            <w:pPr>
              <w:pStyle w:val="16"/>
            </w:pPr>
            <w:r>
              <w:rPr>
                <w:rFonts w:hint="eastAsia"/>
              </w:rPr>
              <w:t>每提供一个得1分，最多得4分。请投标人严格按照要求提交相关证明材料，否则有可能影响评审结果。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6" w:type="dxa"/>
            <w:vMerge w:val="continue"/>
          </w:tcPr>
          <w:p>
            <w:pPr>
              <w:pStyle w:val="16"/>
            </w:pPr>
          </w:p>
        </w:tc>
        <w:tc>
          <w:tcPr>
            <w:tcW w:w="2225" w:type="dxa"/>
          </w:tcPr>
          <w:p>
            <w:pPr>
              <w:pStyle w:val="16"/>
            </w:pPr>
            <w:r>
              <w:rPr>
                <w:rFonts w:hint="eastAsia"/>
              </w:rPr>
              <w:t>本项目的项目经理 (</w:t>
            </w:r>
            <w:r>
              <w:rPr>
                <w:rFonts w:hint="eastAsia"/>
                <w:lang w:val="en-US" w:eastAsia="zh-CN"/>
              </w:rPr>
              <w:t>5</w:t>
            </w:r>
            <w:r>
              <w:rPr>
                <w:rFonts w:hint="eastAsia"/>
              </w:rPr>
              <w:t>.0分)</w:t>
            </w:r>
          </w:p>
        </w:tc>
        <w:tc>
          <w:tcPr>
            <w:tcW w:w="6165" w:type="dxa"/>
          </w:tcPr>
          <w:p>
            <w:pPr>
              <w:pStyle w:val="16"/>
            </w:pPr>
            <w:r>
              <w:rPr>
                <w:rFonts w:hint="eastAsia"/>
              </w:rPr>
              <w:t>项目经理（仅限1人）具有计算机相关专业本科及以上学历，具备8年以上相关工作经验（以最高学历毕业证书为准），同时具有系统集成项目管理工程师、信创集成项目管理师、信息安全工程师、</w:t>
            </w:r>
            <w:r>
              <w:rPr>
                <w:rFonts w:hint="eastAsia"/>
                <w:lang w:val="en-US" w:eastAsia="zh-CN"/>
              </w:rPr>
              <w:t>网络工程师、</w:t>
            </w:r>
            <w:r>
              <w:rPr>
                <w:rFonts w:hint="eastAsia"/>
              </w:rPr>
              <w:t>数据库系统工程师证书的得</w:t>
            </w:r>
            <w:r>
              <w:rPr>
                <w:rFonts w:hint="eastAsia"/>
                <w:lang w:val="en-US" w:eastAsia="zh-CN"/>
              </w:rPr>
              <w:t>5</w:t>
            </w:r>
            <w:r>
              <w:rPr>
                <w:rFonts w:hint="eastAsia"/>
              </w:rPr>
              <w:t>分，缺少任意一项证书不得分。【提供以上人员资质证书复印件和在本公司任职的外部证明材料（如加盖政府有关部门印章的打印日期在本项目投标截止日之前六个月以内，任意月份的社保缴纳证明材料或《社会保险参保人员证明》，或单位代缴个人所得税税单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6" w:type="dxa"/>
            <w:vMerge w:val="continue"/>
          </w:tcPr>
          <w:p>
            <w:pPr>
              <w:pStyle w:val="16"/>
            </w:pPr>
          </w:p>
        </w:tc>
        <w:tc>
          <w:tcPr>
            <w:tcW w:w="2225" w:type="dxa"/>
          </w:tcPr>
          <w:p>
            <w:pPr>
              <w:pStyle w:val="16"/>
            </w:pPr>
            <w:r>
              <w:rPr>
                <w:rFonts w:hint="eastAsia"/>
              </w:rPr>
              <w:t>本项目的</w:t>
            </w:r>
            <w:r>
              <w:rPr>
                <w:rFonts w:hint="eastAsia"/>
                <w:lang w:val="en-US"/>
              </w:rPr>
              <w:t>运维服务</w:t>
            </w:r>
            <w:r>
              <w:rPr>
                <w:rFonts w:hint="eastAsia"/>
              </w:rPr>
              <w:t>人员（项目经理除外） (1</w:t>
            </w:r>
            <w:r>
              <w:rPr>
                <w:rFonts w:hint="eastAsia"/>
                <w:lang w:val="en-US" w:eastAsia="zh-CN"/>
              </w:rPr>
              <w:t>1</w:t>
            </w:r>
            <w:r>
              <w:rPr>
                <w:rFonts w:hint="eastAsia"/>
              </w:rPr>
              <w:t>.0分)</w:t>
            </w:r>
          </w:p>
        </w:tc>
        <w:tc>
          <w:tcPr>
            <w:tcW w:w="6165" w:type="dxa"/>
          </w:tcPr>
          <w:p>
            <w:pPr>
              <w:pStyle w:val="16"/>
            </w:pPr>
            <w:r>
              <w:rPr>
                <w:rFonts w:hint="eastAsia"/>
                <w:lang w:val="en-US"/>
              </w:rPr>
              <w:t>1.</w:t>
            </w:r>
            <w:r>
              <w:rPr>
                <w:rFonts w:hint="eastAsia"/>
              </w:rPr>
              <w:t>技术负责人（仅限1人）具有计算机相关专业本科及以上学历，具备12年以上相关工作经验（以最高学历毕业证书为准），同时具有高级系统规划与管理师、高级系统分析师、高级信息系统项目管理师、高级系统架构师证书的得</w:t>
            </w:r>
            <w:r>
              <w:rPr>
                <w:rFonts w:hint="eastAsia"/>
                <w:lang w:val="en-US" w:eastAsia="zh-CN"/>
              </w:rPr>
              <w:t>5</w:t>
            </w:r>
            <w:r>
              <w:rPr>
                <w:rFonts w:hint="eastAsia"/>
              </w:rPr>
              <w:t>分，缺少任意一项证书不得分。</w:t>
            </w:r>
          </w:p>
          <w:p>
            <w:pPr>
              <w:pStyle w:val="16"/>
              <w:rPr>
                <w:rFonts w:hint="eastAsia"/>
              </w:rPr>
            </w:pPr>
            <w:r>
              <w:rPr>
                <w:rFonts w:hint="eastAsia"/>
                <w:lang w:val="en-US"/>
              </w:rPr>
              <w:t>2.</w:t>
            </w:r>
            <w:r>
              <w:rPr>
                <w:rFonts w:hint="eastAsia"/>
              </w:rPr>
              <w:t>拟派</w:t>
            </w:r>
            <w:r>
              <w:rPr>
                <w:rFonts w:hint="eastAsia"/>
                <w:lang w:val="en-US" w:eastAsia="zh-CN"/>
              </w:rPr>
              <w:t>运维服务团队包括</w:t>
            </w:r>
            <w:r>
              <w:rPr>
                <w:rFonts w:hint="eastAsia"/>
              </w:rPr>
              <w:t>数据分析师至少2人，应具备10年以上工作经验（以最高学历毕业证书为准）同时具有高级大数据分析师证书的得</w:t>
            </w:r>
            <w:r>
              <w:rPr>
                <w:rFonts w:hint="eastAsia"/>
                <w:lang w:val="en-US" w:eastAsia="zh-CN"/>
              </w:rPr>
              <w:t>2</w:t>
            </w:r>
            <w:r>
              <w:rPr>
                <w:rFonts w:hint="eastAsia"/>
              </w:rPr>
              <w:t>分，否则不得分。</w:t>
            </w:r>
          </w:p>
          <w:p>
            <w:pPr>
              <w:pStyle w:val="16"/>
              <w:rPr>
                <w:rFonts w:hint="eastAsia"/>
              </w:rPr>
            </w:pPr>
            <w:r>
              <w:rPr>
                <w:rFonts w:hint="eastAsia"/>
                <w:lang w:val="en-US" w:eastAsia="zh-CN"/>
              </w:rPr>
              <w:t>3</w:t>
            </w:r>
            <w:r>
              <w:rPr>
                <w:rFonts w:hint="eastAsia"/>
              </w:rPr>
              <w:t>.拟派</w:t>
            </w:r>
            <w:r>
              <w:rPr>
                <w:rFonts w:hint="eastAsia"/>
                <w:lang w:val="en-US" w:eastAsia="zh-CN"/>
              </w:rPr>
              <w:t>运维服务团队包括</w:t>
            </w:r>
            <w:r>
              <w:rPr>
                <w:rFonts w:hint="eastAsia"/>
              </w:rPr>
              <w:t>软件评测师</w:t>
            </w:r>
            <w:r>
              <w:rPr>
                <w:rFonts w:hint="eastAsia"/>
                <w:lang w:val="en-US" w:eastAsia="zh-CN"/>
              </w:rPr>
              <w:t>至少</w:t>
            </w:r>
            <w:r>
              <w:rPr>
                <w:rFonts w:hint="eastAsia"/>
              </w:rPr>
              <w:t>1人，计算机相关专业本科及以上学历，应具备8年以上工作经验（以最高学历毕业证书为准）同时软件评测师证书的得</w:t>
            </w:r>
            <w:r>
              <w:rPr>
                <w:rFonts w:hint="eastAsia"/>
                <w:lang w:val="en-US" w:eastAsia="zh-CN"/>
              </w:rPr>
              <w:t>2</w:t>
            </w:r>
            <w:r>
              <w:rPr>
                <w:rFonts w:hint="eastAsia"/>
              </w:rPr>
              <w:t>分，否则不得分。</w:t>
            </w:r>
          </w:p>
          <w:p>
            <w:pPr>
              <w:pStyle w:val="16"/>
              <w:rPr>
                <w:rFonts w:hint="default" w:eastAsiaTheme="minorEastAsia"/>
                <w:lang w:val="en-US" w:eastAsia="zh-CN"/>
              </w:rPr>
            </w:pPr>
            <w:r>
              <w:rPr>
                <w:rFonts w:hint="eastAsia"/>
                <w:lang w:val="en-US" w:eastAsia="zh-CN"/>
              </w:rPr>
              <w:t>4.</w:t>
            </w:r>
            <w:r>
              <w:rPr>
                <w:rFonts w:hint="eastAsia"/>
              </w:rPr>
              <w:t>拟派</w:t>
            </w:r>
            <w:r>
              <w:rPr>
                <w:rFonts w:hint="eastAsia"/>
                <w:lang w:val="en-US" w:eastAsia="zh-CN"/>
              </w:rPr>
              <w:t>运维服务团队包括运维安全保障人员至少2人，应具备5年以上工作经验（以最高学历毕业证书为准）同时具有信息安全保证人员证书的得2分，否则不得分。</w:t>
            </w:r>
          </w:p>
          <w:p>
            <w:pPr>
              <w:pStyle w:val="16"/>
            </w:pPr>
            <w:r>
              <w:rPr>
                <w:rFonts w:hint="eastAsia"/>
              </w:rPr>
              <w:t>【提供以上人员资质证书复印件和在本公司任职的外部证明材料（如加盖政府有关部门印章的打印日期在本项目投标截止日之前六个月以内，任意月份的社保缴纳证明材料或《社会保险参保人员证明》，或单位代缴个人所得税税单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6" w:type="dxa"/>
            <w:vMerge w:val="continue"/>
          </w:tcPr>
          <w:p>
            <w:pPr>
              <w:pStyle w:val="16"/>
            </w:pPr>
          </w:p>
        </w:tc>
        <w:tc>
          <w:tcPr>
            <w:tcW w:w="2225" w:type="dxa"/>
          </w:tcPr>
          <w:p>
            <w:pPr>
              <w:pStyle w:val="16"/>
            </w:pPr>
            <w:r>
              <w:rPr>
                <w:rFonts w:hint="eastAsia"/>
              </w:rPr>
              <w:t>综合信用评价得分 (5.0分)</w:t>
            </w:r>
          </w:p>
        </w:tc>
        <w:tc>
          <w:tcPr>
            <w:tcW w:w="6165" w:type="dxa"/>
          </w:tcPr>
          <w:p>
            <w:pPr>
              <w:pStyle w:val="16"/>
            </w:pPr>
            <w:r>
              <w:rPr>
                <w:rFonts w:hint="eastAsia"/>
              </w:rPr>
              <w:t>以“信用中国”（www.creditchina.gov.cn）网站为查询渠道：对列入行政处罚或失信惩戒的投标人每一条记录扣0.3分，最高扣1分。如查询结果显示没有相关记录，视为没有上述非重大违法违规记录，则不扣分。以评标委员会于评审时在上述网站查询结果为准，评标委员会应将上述记录查询情况截图存档。注：总公司（总所）投标的，只查询总公司（总所）；分支机构（分所）投标的，只查询该分支机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56" w:type="dxa"/>
          </w:tcPr>
          <w:p>
            <w:pPr>
              <w:pStyle w:val="16"/>
            </w:pPr>
            <w:r>
              <w:rPr>
                <w:rFonts w:hint="eastAsia"/>
              </w:rPr>
              <w:t>投标报价</w:t>
            </w:r>
          </w:p>
        </w:tc>
        <w:tc>
          <w:tcPr>
            <w:tcW w:w="2225" w:type="dxa"/>
          </w:tcPr>
          <w:p>
            <w:pPr>
              <w:pStyle w:val="16"/>
            </w:pPr>
            <w:r>
              <w:rPr>
                <w:rFonts w:hint="eastAsia"/>
              </w:rPr>
              <w:t>投标报价得分 (10.0分)</w:t>
            </w:r>
          </w:p>
        </w:tc>
        <w:tc>
          <w:tcPr>
            <w:tcW w:w="6165" w:type="dxa"/>
          </w:tcPr>
          <w:p>
            <w:pPr>
              <w:pStyle w:val="16"/>
            </w:pPr>
            <w:r>
              <w:rPr>
                <w:rFonts w:hint="eastAsia"/>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adjustRightInd w:val="0"/>
        <w:snapToGrid w:val="0"/>
        <w:ind w:firstLine="0" w:firstLineChars="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2DA36D"/>
    <w:multiLevelType w:val="multilevel"/>
    <w:tmpl w:val="BE2DA36D"/>
    <w:lvl w:ilvl="0" w:tentative="0">
      <w:start w:val="1"/>
      <w:numFmt w:val="chineseCounting"/>
      <w:pStyle w:val="2"/>
      <w:suff w:val="nothing"/>
      <w:lvlText w:val="第%1章"/>
      <w:lvlJc w:val="left"/>
      <w:pPr>
        <w:tabs>
          <w:tab w:val="left" w:pos="0"/>
        </w:tabs>
        <w:ind w:left="0" w:firstLine="0"/>
      </w:pPr>
      <w:rPr>
        <w:rFonts w:hint="eastAsia"/>
      </w:rPr>
    </w:lvl>
    <w:lvl w:ilvl="1" w:tentative="0">
      <w:start w:val="1"/>
      <w:numFmt w:val="chineseCounting"/>
      <w:pStyle w:val="3"/>
      <w:suff w:val="nothing"/>
      <w:lvlText w:val="%2、"/>
      <w:lvlJc w:val="left"/>
      <w:pPr>
        <w:tabs>
          <w:tab w:val="left" w:pos="0"/>
        </w:tabs>
        <w:ind w:left="0" w:firstLine="0"/>
      </w:pPr>
      <w:rPr>
        <w:rFonts w:hint="eastAsia"/>
      </w:rPr>
    </w:lvl>
    <w:lvl w:ilvl="2" w:tentative="0">
      <w:start w:val="1"/>
      <w:numFmt w:val="chineseCounting"/>
      <w:pStyle w:val="4"/>
      <w:suff w:val="nothing"/>
      <w:lvlText w:val="（%3）"/>
      <w:lvlJc w:val="left"/>
      <w:pPr>
        <w:ind w:left="0" w:firstLine="0"/>
      </w:pPr>
      <w:rPr>
        <w:rFonts w:hint="eastAsia"/>
      </w:rPr>
    </w:lvl>
    <w:lvl w:ilvl="3" w:tentative="0">
      <w:start w:val="1"/>
      <w:numFmt w:val="decimal"/>
      <w:pStyle w:val="5"/>
      <w:suff w:val="nothing"/>
      <w:lvlText w:val="%4."/>
      <w:lvlJc w:val="left"/>
      <w:pPr>
        <w:ind w:left="0" w:firstLine="0"/>
      </w:pPr>
      <w:rPr>
        <w:rFonts w:hint="eastAsia"/>
      </w:rPr>
    </w:lvl>
    <w:lvl w:ilvl="4" w:tentative="0">
      <w:start w:val="1"/>
      <w:numFmt w:val="decimal"/>
      <w:pStyle w:val="6"/>
      <w:suff w:val="nothing"/>
      <w:lvlText w:val="（%5）"/>
      <w:lvlJc w:val="left"/>
      <w:pPr>
        <w:ind w:left="0" w:firstLine="0"/>
      </w:pPr>
      <w:rPr>
        <w:rFonts w:hint="eastAsia"/>
      </w:rPr>
    </w:lvl>
    <w:lvl w:ilvl="5" w:tentative="0">
      <w:start w:val="1"/>
      <w:numFmt w:val="decimal"/>
      <w:pStyle w:val="7"/>
      <w:suff w:val="nothing"/>
      <w:lvlText w:val="%6）"/>
      <w:lvlJc w:val="left"/>
      <w:pPr>
        <w:ind w:left="0" w:firstLine="0"/>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MGQ5MzhlZjAwMzk3MzcwMmM1ZDY2MTgwM2IxMWYifQ=="/>
  </w:docVars>
  <w:rsids>
    <w:rsidRoot w:val="00D5502A"/>
    <w:rsid w:val="00060C21"/>
    <w:rsid w:val="00093765"/>
    <w:rsid w:val="00222D94"/>
    <w:rsid w:val="00267024"/>
    <w:rsid w:val="0029148E"/>
    <w:rsid w:val="00354477"/>
    <w:rsid w:val="00407B7A"/>
    <w:rsid w:val="00432E4F"/>
    <w:rsid w:val="0044526D"/>
    <w:rsid w:val="004A7BC5"/>
    <w:rsid w:val="0057399D"/>
    <w:rsid w:val="0058523E"/>
    <w:rsid w:val="00596690"/>
    <w:rsid w:val="00682C38"/>
    <w:rsid w:val="006F19C3"/>
    <w:rsid w:val="00855566"/>
    <w:rsid w:val="00873F37"/>
    <w:rsid w:val="00930313"/>
    <w:rsid w:val="009311E2"/>
    <w:rsid w:val="0093248A"/>
    <w:rsid w:val="009A2447"/>
    <w:rsid w:val="00AF4ED8"/>
    <w:rsid w:val="00B134C0"/>
    <w:rsid w:val="00BB206B"/>
    <w:rsid w:val="00C42785"/>
    <w:rsid w:val="00C47797"/>
    <w:rsid w:val="00CC3C8C"/>
    <w:rsid w:val="00D06C28"/>
    <w:rsid w:val="00D5502A"/>
    <w:rsid w:val="00D87133"/>
    <w:rsid w:val="00EF24C3"/>
    <w:rsid w:val="00F265F9"/>
    <w:rsid w:val="00F57827"/>
    <w:rsid w:val="00F746AC"/>
    <w:rsid w:val="00FC428F"/>
    <w:rsid w:val="00FF362B"/>
    <w:rsid w:val="01042CD0"/>
    <w:rsid w:val="0381685A"/>
    <w:rsid w:val="0A2D5046"/>
    <w:rsid w:val="0A8E5623"/>
    <w:rsid w:val="0C230DF6"/>
    <w:rsid w:val="0DF77E44"/>
    <w:rsid w:val="0E0F3FC6"/>
    <w:rsid w:val="113B44EC"/>
    <w:rsid w:val="11CB1409"/>
    <w:rsid w:val="11DF756D"/>
    <w:rsid w:val="15FA7E0F"/>
    <w:rsid w:val="2063288B"/>
    <w:rsid w:val="22CF6191"/>
    <w:rsid w:val="22CF718A"/>
    <w:rsid w:val="23290648"/>
    <w:rsid w:val="25311A36"/>
    <w:rsid w:val="256736AA"/>
    <w:rsid w:val="265C6F87"/>
    <w:rsid w:val="29345F99"/>
    <w:rsid w:val="295B3526"/>
    <w:rsid w:val="2BE6333F"/>
    <w:rsid w:val="2BF832AE"/>
    <w:rsid w:val="2C83526D"/>
    <w:rsid w:val="2C882884"/>
    <w:rsid w:val="2D265BF9"/>
    <w:rsid w:val="2D6230D5"/>
    <w:rsid w:val="2E2465DC"/>
    <w:rsid w:val="2E974238"/>
    <w:rsid w:val="2EFC1307"/>
    <w:rsid w:val="305D4027"/>
    <w:rsid w:val="31684A32"/>
    <w:rsid w:val="339A4C4A"/>
    <w:rsid w:val="347B0F20"/>
    <w:rsid w:val="362D7FF8"/>
    <w:rsid w:val="383E64EC"/>
    <w:rsid w:val="3B304812"/>
    <w:rsid w:val="3F450160"/>
    <w:rsid w:val="41257433"/>
    <w:rsid w:val="416A566A"/>
    <w:rsid w:val="419E624E"/>
    <w:rsid w:val="44B85878"/>
    <w:rsid w:val="44FF34A7"/>
    <w:rsid w:val="471A45C8"/>
    <w:rsid w:val="4D0D1279"/>
    <w:rsid w:val="563A1112"/>
    <w:rsid w:val="581A4428"/>
    <w:rsid w:val="588D6AE7"/>
    <w:rsid w:val="59A85C31"/>
    <w:rsid w:val="5A8E6A07"/>
    <w:rsid w:val="5F08322C"/>
    <w:rsid w:val="5FD21144"/>
    <w:rsid w:val="60D84E80"/>
    <w:rsid w:val="624E149B"/>
    <w:rsid w:val="62AF7E63"/>
    <w:rsid w:val="651144BD"/>
    <w:rsid w:val="65297A59"/>
    <w:rsid w:val="6CBF6EF4"/>
    <w:rsid w:val="6EA42846"/>
    <w:rsid w:val="70690758"/>
    <w:rsid w:val="72275320"/>
    <w:rsid w:val="75736EB3"/>
    <w:rsid w:val="77B265EF"/>
    <w:rsid w:val="787768D5"/>
    <w:rsid w:val="78833873"/>
    <w:rsid w:val="78961451"/>
    <w:rsid w:val="7BD858DD"/>
    <w:rsid w:val="7E096221"/>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firstLineChars="200"/>
      <w:jc w:val="both"/>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keepNext/>
      <w:keepLines/>
      <w:numPr>
        <w:ilvl w:val="0"/>
        <w:numId w:val="1"/>
      </w:numPr>
      <w:ind w:firstLineChars="0"/>
      <w:outlineLvl w:val="0"/>
    </w:pPr>
    <w:rPr>
      <w:b/>
      <w:kern w:val="44"/>
      <w:sz w:val="28"/>
    </w:rPr>
  </w:style>
  <w:style w:type="paragraph" w:styleId="3">
    <w:name w:val="heading 2"/>
    <w:basedOn w:val="1"/>
    <w:next w:val="1"/>
    <w:unhideWhenUsed/>
    <w:qFormat/>
    <w:uiPriority w:val="0"/>
    <w:pPr>
      <w:keepNext/>
      <w:keepLines/>
      <w:numPr>
        <w:ilvl w:val="1"/>
        <w:numId w:val="1"/>
      </w:numPr>
      <w:outlineLvl w:val="1"/>
    </w:pPr>
    <w:rPr>
      <w:rFonts w:ascii="Arial" w:hAnsi="Arial"/>
      <w:b/>
      <w:sz w:val="28"/>
    </w:rPr>
  </w:style>
  <w:style w:type="paragraph" w:styleId="4">
    <w:name w:val="heading 3"/>
    <w:basedOn w:val="1"/>
    <w:next w:val="1"/>
    <w:unhideWhenUsed/>
    <w:qFormat/>
    <w:uiPriority w:val="0"/>
    <w:pPr>
      <w:keepNext/>
      <w:keepLines/>
      <w:numPr>
        <w:ilvl w:val="2"/>
        <w:numId w:val="1"/>
      </w:numPr>
      <w:outlineLvl w:val="2"/>
    </w:pPr>
    <w:rPr>
      <w:b/>
      <w:sz w:val="28"/>
    </w:rPr>
  </w:style>
  <w:style w:type="paragraph" w:styleId="5">
    <w:name w:val="heading 4"/>
    <w:basedOn w:val="1"/>
    <w:next w:val="1"/>
    <w:unhideWhenUsed/>
    <w:qFormat/>
    <w:uiPriority w:val="0"/>
    <w:pPr>
      <w:keepNext/>
      <w:keepLines/>
      <w:numPr>
        <w:ilvl w:val="3"/>
        <w:numId w:val="1"/>
      </w:numPr>
      <w:outlineLvl w:val="3"/>
    </w:pPr>
    <w:rPr>
      <w:rFonts w:ascii="Arial" w:hAnsi="Arial"/>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11">
    <w:name w:val="Body Text"/>
    <w:basedOn w:val="1"/>
    <w:next w:val="1"/>
    <w:semiHidden/>
    <w:unhideWhenUsed/>
    <w:qFormat/>
    <w:uiPriority w:val="99"/>
    <w:pPr>
      <w:spacing w:after="120"/>
    </w:pPr>
  </w:style>
  <w:style w:type="paragraph" w:styleId="12">
    <w:name w:val="footer"/>
    <w:basedOn w:val="1"/>
    <w:link w:val="18"/>
    <w:qFormat/>
    <w:uiPriority w:val="0"/>
    <w:pPr>
      <w:tabs>
        <w:tab w:val="center" w:pos="4153"/>
        <w:tab w:val="right" w:pos="8306"/>
      </w:tabs>
      <w:snapToGrid w:val="0"/>
      <w:spacing w:line="240" w:lineRule="auto"/>
      <w:jc w:val="left"/>
    </w:pPr>
    <w:rPr>
      <w:sz w:val="18"/>
      <w:szCs w:val="18"/>
    </w:rPr>
  </w:style>
  <w:style w:type="paragraph" w:styleId="13">
    <w:name w:val="header"/>
    <w:basedOn w:val="1"/>
    <w:link w:val="17"/>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customStyle="1" w:styleId="16">
    <w:name w:val="表格"/>
    <w:basedOn w:val="1"/>
    <w:qFormat/>
    <w:uiPriority w:val="0"/>
    <w:pPr>
      <w:widowControl/>
      <w:spacing w:line="240" w:lineRule="auto"/>
      <w:ind w:firstLine="0" w:firstLineChars="0"/>
      <w:contextualSpacing/>
      <w:jc w:val="left"/>
    </w:pPr>
    <w:rPr>
      <w:rFonts w:cs="宋体" w:asciiTheme="minorEastAsia" w:hAnsiTheme="minorEastAsia" w:eastAsiaTheme="minorEastAsia"/>
      <w:color w:val="000000"/>
      <w:kern w:val="0"/>
      <w:lang w:val="en-GB"/>
    </w:rPr>
  </w:style>
  <w:style w:type="character" w:customStyle="1" w:styleId="17">
    <w:name w:val="页眉 Char"/>
    <w:basedOn w:val="15"/>
    <w:link w:val="13"/>
    <w:qFormat/>
    <w:uiPriority w:val="0"/>
    <w:rPr>
      <w:rFonts w:asciiTheme="minorHAnsi" w:hAnsiTheme="minorHAnsi" w:cstheme="minorBidi"/>
      <w:kern w:val="2"/>
      <w:sz w:val="18"/>
      <w:szCs w:val="18"/>
    </w:rPr>
  </w:style>
  <w:style w:type="character" w:customStyle="1" w:styleId="18">
    <w:name w:val="页脚 Char"/>
    <w:basedOn w:val="15"/>
    <w:link w:val="1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1818</Words>
  <Characters>1851</Characters>
  <Lines>63</Lines>
  <Paragraphs>17</Paragraphs>
  <TotalTime>3</TotalTime>
  <ScaleCrop>false</ScaleCrop>
  <LinksUpToDate>false</LinksUpToDate>
  <CharactersWithSpaces>1853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2024-03-21T01:27:00Z</dcterms:created>
  <dc:creator>think</dc:creator>
  <cp:lastModifiedBy>Xuht</cp:lastModifiedBy>
  <dcterms:modified xsi:type="dcterms:W3CDTF">2025-05-29T07:26:34Z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EF287ACB4BA44CE8A190CA94308FA68B_13</vt:lpwstr>
  </property>
  <property fmtid="{D5CDD505-2E9C-101B-9397-08002B2CF9AE}" pid="4" name="KSOTemplateDocerSaveRecord">
    <vt:lpwstr>eyJoZGlkIjoiNWU4NTRlMjY3MTlkNzYwYzQ5Yjc5NWI3NzhiMTg3YjYiLCJ1c2VySWQiOiIzMTE2NjY2MjMifQ==</vt:lpwstr>
  </property>
</Properties>
</file>