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2-2</w:t>
      </w:r>
    </w:p>
    <w:p>
      <w:pPr>
        <w:pStyle w:val="2"/>
        <w:rPr>
          <w:rFonts w:hint="eastAsia"/>
          <w:highlight w:val="none"/>
          <w:lang w:eastAsia="zh-CN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 xml:space="preserve"> 报价明细表</w:t>
      </w:r>
    </w:p>
    <w:tbl>
      <w:tblPr>
        <w:tblStyle w:val="3"/>
        <w:tblW w:w="9099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65"/>
        <w:gridCol w:w="4010"/>
        <w:gridCol w:w="251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  <w:t>服务内容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  <w:t>质量要求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  <w:t>内容描述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  <w:t>单项收费（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highlight w:val="none"/>
                <w:lang w:eastAsia="zh-CN"/>
              </w:rPr>
              <w:t>宗</w:t>
            </w:r>
            <w:r>
              <w:rPr>
                <w:rFonts w:ascii="Times New Roman" w:hAnsi="Times New Roman" w:eastAsia="仿宋_GB2312"/>
                <w:b/>
                <w:bCs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1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历年文书档案整理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符合如下规范：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1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）《档案著录规则》（DA/T 18-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  <w:lang w:val="en-US" w:eastAsia="zh-CN"/>
              </w:rPr>
              <w:t>2022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）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）《档案装裱技术规范》（DA/T 25-2022）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3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）《纸质归档文件装订规范》（DA/T 69—2018）</w:t>
            </w:r>
          </w:p>
          <w:p>
            <w:pPr>
              <w:widowControl/>
              <w:contextualSpacing/>
              <w:jc w:val="left"/>
              <w:rPr>
                <w:rFonts w:hint="eastAsia" w:ascii="Times New Roman" w:hAnsi="Times New Roman" w:eastAsia="仿宋_GB2312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（4）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 xml:space="preserve">《电子文件归档与管理规范》 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GB/T 18894-2016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  <w:lang w:eastAsia="zh-CN"/>
              </w:rPr>
              <w:t>）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（5）《住房公积金业务档案管理标准》JGJ/T495-2022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（6）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《广州住房公积金管理中心</w:t>
            </w:r>
          </w:p>
          <w:p>
            <w:pPr>
              <w:widowControl/>
              <w:contextualSpacing/>
              <w:jc w:val="left"/>
              <w:rPr>
                <w:rFonts w:hint="eastAsia"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档案管理办法》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（穗公积金中心〔2021〕78号）</w:t>
            </w:r>
          </w:p>
          <w:p>
            <w:pPr>
              <w:widowControl/>
              <w:contextualSpacing/>
              <w:jc w:val="left"/>
              <w:rPr>
                <w:rFonts w:hint="eastAsia" w:ascii="Times New Roman" w:hAnsi="Times New Roman" w:eastAsia="仿宋_GB2312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eastAsia="zh-CN"/>
              </w:rPr>
              <w:t>）《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val="en-US" w:eastAsia="zh-CN"/>
              </w:rPr>
              <w:t>广州住房公积金管理中心关于印发档案分类方案、文件材料归档范围和档案保管期限表三合一制度的通知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</w:rPr>
              <w:t>（穗公积金中心〔202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</w:rPr>
              <w:t>〕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</w:rPr>
              <w:t>号）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对文书档案按照国家、行业标准分别对文书档案进行整理，规范开展鉴别、分类、排序、技术加工、编号、打码、装盒和著录等工序</w:t>
            </w:r>
          </w:p>
          <w:p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按照泰坦系统要求进行录入信息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2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历年文书档案扫描数字化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符合如下规范：</w:t>
            </w:r>
          </w:p>
          <w:p>
            <w:pPr>
              <w:widowControl/>
              <w:contextualSpacing/>
              <w:jc w:val="left"/>
              <w:rPr>
                <w:rFonts w:hint="eastAsia" w:ascii="Times New Roman" w:hAnsi="Times New Roman" w:eastAsia="仿宋_GB2312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（1）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《纸质档案数字化技术规范》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DA/T 31-2017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  <w:lang w:eastAsia="zh-CN"/>
              </w:rPr>
              <w:t>）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（2）</w:t>
            </w:r>
            <w:r>
              <w:rPr>
                <w:rFonts w:ascii="Times New Roman" w:hAnsi="Times New Roman" w:eastAsia="仿宋_GB2312"/>
                <w:kern w:val="0"/>
                <w:highlight w:val="none"/>
              </w:rPr>
              <w:t>《广州住房公积金管理中心</w:t>
            </w:r>
          </w:p>
          <w:p>
            <w:pPr>
              <w:widowControl/>
              <w:contextualSpacing/>
              <w:jc w:val="left"/>
              <w:rPr>
                <w:rFonts w:hint="eastAsia"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档案管理办法》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（穗公积金中心〔2021〕78号）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eastAsia="zh-CN"/>
              </w:rPr>
              <w:t>）《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val="en-US" w:eastAsia="zh-CN"/>
              </w:rPr>
              <w:t>广州住房公积金管理中心关于印发档案分类方案、文件材料归档范围和档案保管期限表三合一制度的通知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</w:rPr>
              <w:t>（穗公积金中心〔202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</w:rPr>
              <w:t>〕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highlight w:val="yellow"/>
              </w:rPr>
              <w:t>号）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1.拆卷；2.档案扫描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3.图像处理；4.图像质检；5.数据质检（包括目录、图片与实体档案、信息）；6.档案装订；7.数据挂接；8数据备份；9.总质检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3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档案全本数字化加工及挂接组工平台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符合如下规范：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（1）《纸质档案数字化技术规范》（DA/T 31-2017）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（2）《关于印发&lt;档案数字化外包安全管理规范&gt;的通知》（档办发〔2014〕7 号）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1.拆卷；2.档案扫描</w:t>
            </w:r>
          </w:p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highlight w:val="none"/>
              </w:rPr>
              <w:t>3.图像处理；4.图像质检；5.数据质检（包括目录、图片与实体档案、信息）；6.档案装订；7.数据挂接；8数据备份；9.总质检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4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总价</w:t>
            </w:r>
          </w:p>
        </w:tc>
        <w:tc>
          <w:tcPr>
            <w:tcW w:w="76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highlight w:val="none"/>
                <w:lang w:val="en-US" w:eastAsia="zh-CN"/>
              </w:rPr>
              <w:t xml:space="preserve">6000宗案件，共   </w:t>
            </w:r>
            <w:r>
              <w:rPr>
                <w:rFonts w:hint="eastAsia" w:ascii="Times New Roman" w:hAnsi="Times New Roman" w:eastAsia="仿宋_GB2312"/>
                <w:kern w:val="0"/>
                <w:highlight w:val="none"/>
              </w:rPr>
              <w:t>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BA678"/>
    <w:multiLevelType w:val="singleLevel"/>
    <w:tmpl w:val="CD7BA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2024-12-10T02:05:17Z</dcterms:created>
  <dc:creator>Administrator</dc:creator>
  <cp:lastModifiedBy>陈昉恒</cp:lastModifiedBy>
  <dcterms:modified xsi:type="dcterms:W3CDTF">2024-12-10T02:05:32Z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