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广州住房公积金管理</w:t>
      </w:r>
      <w:bookmarkStart w:id="0" w:name="_GoBack"/>
      <w:bookmarkEnd w:id="0"/>
      <w:r>
        <w:rPr>
          <w:rFonts w:hint="eastAsia" w:ascii="方正小标宋_GBK" w:hAnsi="方正小标宋_GBK" w:eastAsia="方正小标宋_GBK" w:cs="方正小标宋_GBK"/>
          <w:sz w:val="44"/>
          <w:szCs w:val="44"/>
          <w:lang w:val="en-US" w:eastAsia="zh-CN"/>
        </w:rPr>
        <w:t>中心后台办公场地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地砖更换（荔湾管理部）项目评审细则</w:t>
      </w:r>
    </w:p>
    <w:p>
      <w:pPr>
        <w:ind w:firstLine="640" w:firstLineChars="200"/>
        <w:rPr>
          <w:rFonts w:hint="default" w:ascii="Times New Roman" w:hAnsi="Times New Roman" w:eastAsia="仿宋_GB2312" w:cs="Times New Roman"/>
          <w:sz w:val="32"/>
          <w:szCs w:val="32"/>
          <w:lang w:val="en-US" w:eastAsia="zh-CN"/>
        </w:rPr>
      </w:pPr>
    </w:p>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一、资格性审查</w:t>
      </w:r>
    </w:p>
    <w:tbl>
      <w:tblPr>
        <w:tblStyle w:val="3"/>
        <w:tblW w:w="910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340"/>
        <w:gridCol w:w="67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34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审查类别</w:t>
            </w:r>
          </w:p>
        </w:tc>
        <w:tc>
          <w:tcPr>
            <w:tcW w:w="676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审查内容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34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最终资格性审查</w:t>
            </w:r>
          </w:p>
        </w:tc>
        <w:tc>
          <w:tcPr>
            <w:tcW w:w="676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符合采购公告中规定的供应商资格要求及证明文件齐全。</w:t>
            </w:r>
          </w:p>
        </w:tc>
      </w:tr>
    </w:tbl>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二、符合性审查</w:t>
      </w:r>
    </w:p>
    <w:tbl>
      <w:tblPr>
        <w:tblStyle w:val="3"/>
        <w:tblW w:w="909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295"/>
        <w:gridCol w:w="679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2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审查类别</w:t>
            </w:r>
          </w:p>
        </w:tc>
        <w:tc>
          <w:tcPr>
            <w:tcW w:w="67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审查内容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295"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最终符合性审查</w:t>
            </w:r>
          </w:p>
        </w:tc>
        <w:tc>
          <w:tcPr>
            <w:tcW w:w="67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最后报价确定且不高于最高限价；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295" w:type="dxa"/>
            <w:vMerge w:val="continue"/>
            <w:tcBorders>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rPr>
                <w:rFonts w:hint="eastAsia" w:ascii="仿宋_GB2312" w:hAnsi="仿宋_GB2312" w:eastAsia="仿宋_GB2312" w:cs="仿宋_GB2312"/>
                <w:sz w:val="24"/>
                <w:szCs w:val="24"/>
              </w:rPr>
            </w:pPr>
          </w:p>
        </w:tc>
        <w:tc>
          <w:tcPr>
            <w:tcW w:w="67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有盖章、签署要求的带★格式文件已按要求盖章、签署。</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295" w:type="dxa"/>
            <w:vMerge w:val="continue"/>
            <w:tcBorders>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rPr>
                <w:rFonts w:hint="eastAsia" w:ascii="仿宋_GB2312" w:hAnsi="仿宋_GB2312" w:eastAsia="仿宋_GB2312" w:cs="仿宋_GB2312"/>
                <w:sz w:val="24"/>
                <w:szCs w:val="24"/>
              </w:rPr>
            </w:pPr>
          </w:p>
        </w:tc>
        <w:tc>
          <w:tcPr>
            <w:tcW w:w="67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响应文件完全满足评审文件中带★号的条款和指标(审查《实质性响应条款一览表》)。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295"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rPr>
                <w:rFonts w:hint="eastAsia" w:ascii="仿宋_GB2312" w:hAnsi="仿宋_GB2312" w:eastAsia="仿宋_GB2312" w:cs="仿宋_GB2312"/>
                <w:sz w:val="24"/>
                <w:szCs w:val="24"/>
              </w:rPr>
            </w:pPr>
          </w:p>
        </w:tc>
        <w:tc>
          <w:tcPr>
            <w:tcW w:w="679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eastAsia" w:ascii="仿宋_GB2312" w:hAnsi="仿宋_GB2312" w:eastAsia="仿宋_GB2312" w:cs="仿宋_GB2312"/>
              </w:rPr>
            </w:pPr>
            <w:r>
              <w:rPr>
                <w:rFonts w:hint="eastAsia" w:ascii="仿宋_GB2312" w:hAnsi="仿宋_GB2312" w:eastAsia="仿宋_GB2312" w:cs="仿宋_GB2312"/>
              </w:rPr>
              <w:t>未发现属无效响应的其他情形（见表末说明）。</w:t>
            </w:r>
          </w:p>
        </w:tc>
      </w:tr>
    </w:tbl>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说明：以下为属无效响应的其他情形。</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（一）供应商对采购人、评审委员会及其工作人员施加影响，有碍政府采购公平、公正的。</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（二）法律、法规和招标文件规定的其他无效情形。</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评审委员会认为，供应商的最后报价明显不合理或者明显低于其他供应商报价，有可能影响商品质量和不能诚信履约的，应当要求该供应商作出书面说明并提供相关证明材料。供应商不能合理说明或者不能提供相关证明材料的，由评审委员会认定该供应商为低于成本报价，响应无效。</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通过资格性和符合性审查的有效供应商方可进入综合评分阶段。如通过资格性审查和符合性审查少于3家时，评审委员会宣布项目采购失败。</w:t>
      </w:r>
    </w:p>
    <w:p>
      <w:pPr>
        <w:ind w:firstLine="643" w:firstLineChars="20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三、综合评分</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本项目采用综合评分法</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评审依据：在不高于最高限价的前提下，综合评估分最高的为候选人。</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综合评估分的计算和排序</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综合评估分中各评估因素所占权重（见下表）</w:t>
      </w:r>
    </w:p>
    <w:tbl>
      <w:tblPr>
        <w:tblStyle w:val="3"/>
        <w:tblW w:w="894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2425"/>
        <w:gridCol w:w="2425"/>
        <w:gridCol w:w="2425"/>
        <w:gridCol w:w="166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24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评估因素</w:t>
            </w:r>
          </w:p>
        </w:tc>
        <w:tc>
          <w:tcPr>
            <w:tcW w:w="24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价格</w:t>
            </w:r>
          </w:p>
        </w:tc>
        <w:tc>
          <w:tcPr>
            <w:tcW w:w="24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技术</w:t>
            </w:r>
          </w:p>
        </w:tc>
        <w:tc>
          <w:tcPr>
            <w:tcW w:w="166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商务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787" w:hRule="atLeast"/>
        </w:trPr>
        <w:tc>
          <w:tcPr>
            <w:tcW w:w="24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评估权重</w:t>
            </w:r>
          </w:p>
        </w:tc>
        <w:tc>
          <w:tcPr>
            <w:tcW w:w="24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25</w:t>
            </w:r>
          </w:p>
        </w:tc>
        <w:tc>
          <w:tcPr>
            <w:tcW w:w="242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55</w:t>
            </w:r>
          </w:p>
        </w:tc>
        <w:tc>
          <w:tcPr>
            <w:tcW w:w="166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仿宋_GB2312" w:cs="Times New Roman"/>
                <w:highlight w:val="none"/>
                <w:lang w:val="en-US" w:eastAsia="zh-CN"/>
              </w:rPr>
            </w:pPr>
            <w:r>
              <w:rPr>
                <w:rFonts w:hint="eastAsia" w:ascii="Times New Roman" w:hAnsi="Times New Roman" w:eastAsia="仿宋_GB2312" w:cs="Times New Roman"/>
                <w:highlight w:val="none"/>
                <w:lang w:val="en-US" w:eastAsia="zh-CN"/>
              </w:rPr>
              <w:t>20</w:t>
            </w:r>
          </w:p>
        </w:tc>
      </w:tr>
    </w:tbl>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综合评估分（精确到小数点后两位）=技术得分+商务得分+价格得分；</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将综合评估分从高到低排序，得分相同的，按投标报价由低到高顺序排列。得分且投标报价相同的，按技术得分高低顺序排列。</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具体评审内容细则如下：</w:t>
      </w:r>
    </w:p>
    <w:tbl>
      <w:tblPr>
        <w:tblStyle w:val="3"/>
        <w:tblpPr w:leftFromText="180" w:rightFromText="180" w:vertAnchor="text" w:horzAnchor="page" w:tblpX="1798" w:tblpY="522"/>
        <w:tblOverlap w:val="never"/>
        <w:tblW w:w="89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54"/>
        <w:gridCol w:w="914"/>
        <w:gridCol w:w="3144"/>
        <w:gridCol w:w="37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项目</w:t>
            </w: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分值</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评审内容</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pPr>
            <w:r>
              <w:rPr>
                <w:rStyle w:val="5"/>
                <w:rFonts w:ascii="Times New Roman" w:hAnsi="Times New Roman" w:eastAsia="宋体" w:cs="Times New Roman"/>
              </w:rPr>
              <w:t>评分细则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价格评审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highlight w:val="none"/>
              </w:rPr>
              <w:t>（25分）</w:t>
            </w: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cs="Times New Roman"/>
              </w:rPr>
            </w:pPr>
            <w:r>
              <w:rPr>
                <w:rFonts w:hint="default" w:ascii="Times New Roman" w:hAnsi="Times New Roman" w:cs="Times New Roman"/>
              </w:rPr>
              <w:t>25</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价格得分=（评标基准价/投标报价）×价格权重</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项目最低投标价格为评标基准价，满足招标文件要求且投标价格最低的投标报价为评标基准价，其分值为满分。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技术评审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highlight w:val="none"/>
              </w:rPr>
              <w:t>（55分）</w:t>
            </w: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15</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施工进度计划及工期保证措施</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根据采购人提供针对项目特点编制施工总进度计划及工期保证措施，确保实现工程进度目标进行评审：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（1）施工进度计划及工期保证措施完善具体、可行性高，得15分；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（2）施工进度计划及工期保证措施较具体、可行性一般，得10分；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（3）施工进度计划及工期保证措施不具体、可行性差，得5分；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（4）不提供不得分。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rPr>
                <w:rFonts w:hint="default" w:ascii="Times New Roman" w:hAnsi="Times New Roman" w:cs="Times New Roman"/>
                <w:sz w:val="24"/>
                <w:szCs w:val="24"/>
              </w:rPr>
            </w:pP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Chars="0" w:right="0" w:rightChars="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质量保证措施</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根据招标人提供的质量保证措施方案进行评审：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（1）质量保证体系及措施承诺可靠具体、实用性强，计划详细、可行性高，得</w:t>
            </w:r>
            <w:r>
              <w:rPr>
                <w:rFonts w:hint="default" w:ascii="Times New Roman" w:hAnsi="Times New Roman" w:cs="Times New Roman"/>
                <w:lang w:val="en-US" w:eastAsia="zh-CN"/>
              </w:rPr>
              <w:t>10</w:t>
            </w:r>
            <w:r>
              <w:rPr>
                <w:rFonts w:hint="default" w:ascii="Times New Roman" w:hAnsi="Times New Roman" w:cs="Times New Roma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（2）质量保证体系及措施承诺实用性一般，计划较详细、可行性一般，得</w:t>
            </w:r>
            <w:r>
              <w:rPr>
                <w:rFonts w:hint="default" w:ascii="Times New Roman" w:hAnsi="Times New Roman" w:cs="Times New Roman"/>
                <w:lang w:val="en-US" w:eastAsia="zh-CN"/>
              </w:rPr>
              <w:t>5</w:t>
            </w:r>
            <w:r>
              <w:rPr>
                <w:rFonts w:hint="default" w:ascii="Times New Roman" w:hAnsi="Times New Roman" w:cs="Times New Roma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（3）质量保证体系及措施承诺不可靠，得</w:t>
            </w:r>
            <w:r>
              <w:rPr>
                <w:rFonts w:hint="default" w:ascii="Times New Roman" w:hAnsi="Times New Roman" w:cs="Times New Roman"/>
                <w:lang w:val="en-US" w:eastAsia="zh-CN"/>
              </w:rPr>
              <w:t>1</w:t>
            </w:r>
            <w:r>
              <w:rPr>
                <w:rFonts w:hint="default" w:ascii="Times New Roman" w:hAnsi="Times New Roman" w:cs="Times New Roman"/>
              </w:rPr>
              <w:t>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rPr>
                <w:rFonts w:hint="default" w:ascii="Times New Roman" w:hAnsi="Times New Roman" w:cs="Times New Roman"/>
                <w:sz w:val="24"/>
                <w:szCs w:val="24"/>
              </w:rPr>
            </w:pP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安全保证措施</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（1）安全保证措施明确、切实、有针对性、保证力度强，得</w:t>
            </w:r>
            <w:r>
              <w:rPr>
                <w:rFonts w:hint="default" w:ascii="Times New Roman" w:hAnsi="Times New Roman" w:cs="Times New Roman"/>
                <w:lang w:val="en-US" w:eastAsia="zh-CN"/>
              </w:rPr>
              <w:t>10</w:t>
            </w:r>
            <w:r>
              <w:rPr>
                <w:rFonts w:hint="default" w:ascii="Times New Roman" w:hAnsi="Times New Roman" w:cs="Times New Roma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（2）安全保证措施明确、切实、有针对性、保证力度一般，得</w:t>
            </w:r>
            <w:r>
              <w:rPr>
                <w:rFonts w:hint="default" w:ascii="Times New Roman" w:hAnsi="Times New Roman" w:cs="Times New Roman"/>
                <w:lang w:val="en-US" w:eastAsia="zh-CN"/>
              </w:rPr>
              <w:t>5</w:t>
            </w:r>
            <w:r>
              <w:rPr>
                <w:rFonts w:hint="default" w:ascii="Times New Roman" w:hAnsi="Times New Roman" w:cs="Times New Roma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（3）安全保证措施明确、不切实、没有针对性，得</w:t>
            </w:r>
            <w:r>
              <w:rPr>
                <w:rFonts w:hint="default" w:ascii="Times New Roman" w:hAnsi="Times New Roman" w:cs="Times New Roman"/>
                <w:lang w:val="en-US" w:eastAsia="zh-CN"/>
              </w:rPr>
              <w:t>1</w:t>
            </w:r>
            <w:r>
              <w:rPr>
                <w:rFonts w:hint="default" w:ascii="Times New Roman" w:hAnsi="Times New Roman" w:cs="Times New Roma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（4）不提供不得分。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rPr>
                <w:rFonts w:hint="default" w:ascii="Times New Roman" w:hAnsi="Times New Roman" w:cs="Times New Roman"/>
                <w:sz w:val="24"/>
                <w:szCs w:val="24"/>
              </w:rPr>
            </w:pP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cs="Times New Roman"/>
              </w:rPr>
            </w:pPr>
            <w:r>
              <w:rPr>
                <w:rFonts w:hint="default" w:ascii="Times New Roman" w:hAnsi="Times New Roman" w:cs="Times New Roman"/>
              </w:rPr>
              <w:t>10</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环保保证措施</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1）环保保证措施明确、切实、有针对性、保证力度强，得10分；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（2）环保保证措施明确、切实、有针对性、保证力度一般，得5分；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（3）环保保证措施明确、不切实、没有针对性，得1分；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（4）不提供不得分。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default" w:ascii="Times New Roman" w:hAnsi="Times New Roman" w:cs="Times New Roman"/>
                <w:sz w:val="24"/>
                <w:szCs w:val="24"/>
              </w:rPr>
            </w:pP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售后服务方案合理、可行、详细。</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（1）有完善的售后服务，各阶段服务计划详尽，质保期、维护保养期服务（包括费用）承诺可靠、具体，得10分；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（2）有较完善的售后服务，各阶段服务计划较详尽，质保期、维护保养期服务（包括费用）承诺可靠、具体，得5分；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（3）有基本完善的售后服务，各阶段服务计划简单，质保期、维护保养期服务（包括费用）承诺简单，得1分；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（4）服务计划、质保期、维护保养期限服务（包括费用）没有具体承诺或没有响应，得0分。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restart"/>
            <w:tcBorders>
              <w:top w:val="single" w:color="000000" w:sz="6" w:space="0"/>
              <w:left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商务评审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highlight w:val="none"/>
              </w:rPr>
              <w:t>（20分）</w:t>
            </w: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6</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供应商项目业绩</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供应商自2021年1月1日至今独立完成过质量合格的建筑工程项目业绩的，每个得2分，最多得</w:t>
            </w:r>
            <w:r>
              <w:rPr>
                <w:rFonts w:hint="default" w:ascii="Times New Roman" w:hAnsi="Times New Roman" w:cs="Times New Roman"/>
                <w:lang w:val="en-US" w:eastAsia="zh-CN"/>
              </w:rPr>
              <w:t>6</w:t>
            </w:r>
            <w:r>
              <w:rPr>
                <w:rFonts w:hint="default" w:ascii="Times New Roman" w:hAnsi="Times New Roman" w:cs="Times New Roman"/>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eastAsia="宋体" w:cs="Times New Roman"/>
                <w:lang w:eastAsia="zh-CN"/>
              </w:rPr>
            </w:pPr>
            <w:r>
              <w:rPr>
                <w:rFonts w:hint="default" w:ascii="Times New Roman" w:hAnsi="Times New Roman" w:cs="Times New Roman"/>
              </w:rPr>
              <w:t>注：项目业绩需提供施工合同复印件加盖公章</w:t>
            </w:r>
            <w:r>
              <w:rPr>
                <w:rFonts w:hint="default" w:ascii="Times New Roman" w:hAnsi="Times New Roman" w:cs="Times New Roman"/>
                <w:lang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continue"/>
            <w:tcBorders>
              <w:left w:val="single" w:color="000000" w:sz="6" w:space="0"/>
              <w:right w:val="single" w:color="000000" w:sz="6" w:space="0"/>
            </w:tcBorders>
            <w:noWrap w:val="0"/>
            <w:tcMar>
              <w:top w:w="75" w:type="dxa"/>
              <w:left w:w="150" w:type="dxa"/>
              <w:bottom w:w="75" w:type="dxa"/>
              <w:right w:w="150" w:type="dxa"/>
            </w:tcMar>
            <w:vAlign w:val="center"/>
          </w:tcPr>
          <w:p>
            <w:pPr>
              <w:rPr>
                <w:rFonts w:hint="default" w:ascii="Times New Roman" w:hAnsi="Times New Roman" w:cs="Times New Roman"/>
                <w:sz w:val="24"/>
                <w:szCs w:val="24"/>
              </w:rPr>
            </w:pP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5</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项目管理机构能力情况</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拟投入人员包括至少1名安全员、1名质检员、1名材料员、1名资料员、1名施工负责人员（即上述人员同时配备）得5分，每少一类人员减1分，减完为止。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注：必须提供上述人员上岗证、身份证及投标截止时间前半年任意一个月的社保证明文件复印件加盖公章，否则不得分。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PrEx>
        <w:tc>
          <w:tcPr>
            <w:tcW w:w="1154" w:type="dxa"/>
            <w:vMerge w:val="continue"/>
            <w:tcBorders>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rPr>
                <w:rFonts w:hint="default" w:ascii="Times New Roman" w:hAnsi="Times New Roman" w:cs="Times New Roman"/>
                <w:sz w:val="24"/>
                <w:szCs w:val="24"/>
              </w:rPr>
            </w:pPr>
          </w:p>
        </w:tc>
        <w:tc>
          <w:tcPr>
            <w:tcW w:w="91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9</w:t>
            </w:r>
          </w:p>
        </w:tc>
        <w:tc>
          <w:tcPr>
            <w:tcW w:w="3144"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管理体系</w:t>
            </w:r>
          </w:p>
        </w:tc>
        <w:tc>
          <w:tcPr>
            <w:tcW w:w="3773"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225" w:afterAutospacing="0"/>
              <w:ind w:left="0" w:right="0"/>
              <w:jc w:val="left"/>
              <w:rPr>
                <w:rFonts w:hint="default" w:ascii="Times New Roman" w:hAnsi="Times New Roman" w:cs="Times New Roman"/>
              </w:rPr>
            </w:pPr>
            <w:r>
              <w:rPr>
                <w:rFonts w:hint="default" w:ascii="Times New Roman" w:hAnsi="Times New Roman" w:cs="Times New Roman"/>
              </w:rPr>
              <w:t>供应商具备质量管理体系认证证书的得3分；具备环境管理体系认证证书的得3分；具备职业健康安全管理体系认证证书的得3分；上述证书须有效，本项最高得9分。（需提供证书复印件加盖公章）</w:t>
            </w:r>
          </w:p>
        </w:tc>
      </w:tr>
    </w:tbl>
    <w:p>
      <w:pPr>
        <w:ind w:firstLine="640" w:firstLineChars="200"/>
        <w:rPr>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请供应商严格按照要求提交相关证明材料，否则有可能影响评审结果。</w:t>
      </w:r>
    </w:p>
    <w:p>
      <w:pPr>
        <w:ind w:firstLine="1600" w:firstLineChars="5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将所有评标委员会成员所评各项的得分进行算术平均（按四舍五入原则精确到小数点后三位），再汇总得出该供应商的评分（按四舍五入原则精确到小数点后两位）。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72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5">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2024-09-20T02:02:44Z</dcterms:created>
  <dc:creator>Administrator</dc:creator>
  <cp:lastModifiedBy>Administrator</cp:lastModifiedBy>
  <dcterms:modified xsi:type="dcterms:W3CDTF">2024-09-20T02:03:41Z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