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firstLine="0"/>
        <w:rPr>
          <w:rFonts w:hint="eastAsia" w:asciiTheme="majorEastAsia" w:hAnsiTheme="majorEastAsia" w:eastAsiaTheme="majorEastAsia" w:cstheme="majorEastAsia"/>
        </w:rPr>
      </w:pPr>
      <w:bookmarkStart w:id="0" w:name="_Toc46738290"/>
      <w:bookmarkStart w:id="1" w:name="_Toc499035956"/>
      <w:bookmarkStart w:id="2" w:name="_Toc46738156"/>
      <w:bookmarkStart w:id="3" w:name="_Toc75917307"/>
      <w:bookmarkStart w:id="4" w:name="_Toc46738417"/>
      <w:bookmarkStart w:id="5" w:name="_Toc12118373"/>
      <w:r>
        <w:rPr>
          <w:rFonts w:hint="eastAsia" w:asciiTheme="majorEastAsia" w:hAnsiTheme="majorEastAsia" w:eastAsiaTheme="majorEastAsia" w:cstheme="majorEastAsia"/>
        </w:rPr>
        <w:t>分中心</w:t>
      </w:r>
      <w:r>
        <w:rPr>
          <w:rFonts w:hint="eastAsia" w:asciiTheme="majorEastAsia" w:hAnsiTheme="majorEastAsia" w:eastAsiaTheme="majorEastAsia" w:cstheme="majorEastAsia"/>
          <w:lang w:eastAsia="zh-CN"/>
        </w:rPr>
        <w:t>信息化</w:t>
      </w:r>
      <w:bookmarkStart w:id="17" w:name="_GoBack"/>
      <w:bookmarkEnd w:id="17"/>
      <w:r>
        <w:rPr>
          <w:rFonts w:hint="eastAsia" w:asciiTheme="majorEastAsia" w:hAnsiTheme="majorEastAsia" w:eastAsiaTheme="majorEastAsia" w:cstheme="majorEastAsia"/>
        </w:rPr>
        <w:t>设备迁移</w:t>
      </w:r>
      <w:r>
        <w:rPr>
          <w:rFonts w:hint="eastAsia" w:asciiTheme="majorEastAsia" w:hAnsiTheme="majorEastAsia" w:eastAsiaTheme="majorEastAsia" w:cstheme="majorEastAsia"/>
          <w:lang w:val="en-US" w:eastAsia="zh-CN"/>
        </w:rPr>
        <w:t>及升级</w:t>
      </w:r>
      <w:r>
        <w:rPr>
          <w:rFonts w:hint="eastAsia" w:asciiTheme="majorEastAsia" w:hAnsiTheme="majorEastAsia" w:eastAsiaTheme="majorEastAsia" w:cstheme="majorEastAsia"/>
        </w:rPr>
        <w:t>改造</w:t>
      </w:r>
      <w:r>
        <w:rPr>
          <w:rFonts w:hint="eastAsia" w:asciiTheme="majorEastAsia" w:hAnsiTheme="majorEastAsia" w:eastAsiaTheme="majorEastAsia" w:cstheme="majorEastAsia"/>
          <w:lang w:val="en-US" w:eastAsia="zh-CN"/>
        </w:rPr>
        <w:t>服务</w:t>
      </w:r>
      <w:r>
        <w:rPr>
          <w:rFonts w:hint="eastAsia" w:asciiTheme="majorEastAsia" w:hAnsiTheme="majorEastAsia" w:eastAsiaTheme="majorEastAsia" w:cstheme="majorEastAsia"/>
        </w:rPr>
        <w:t>评</w:t>
      </w:r>
      <w:bookmarkEnd w:id="0"/>
      <w:bookmarkEnd w:id="1"/>
      <w:bookmarkEnd w:id="2"/>
      <w:bookmarkEnd w:id="3"/>
      <w:bookmarkEnd w:id="4"/>
      <w:bookmarkEnd w:id="5"/>
      <w:r>
        <w:rPr>
          <w:rFonts w:hint="eastAsia" w:asciiTheme="majorEastAsia" w:hAnsiTheme="majorEastAsia" w:eastAsiaTheme="majorEastAsia" w:cstheme="majorEastAsia"/>
          <w:lang w:eastAsia="zh-CN"/>
        </w:rPr>
        <w:t>分</w:t>
      </w:r>
      <w:r>
        <w:rPr>
          <w:rFonts w:hint="eastAsia" w:asciiTheme="majorEastAsia" w:hAnsiTheme="majorEastAsia" w:eastAsiaTheme="majorEastAsia" w:cstheme="majorEastAsia"/>
        </w:rPr>
        <w:t>细则</w:t>
      </w:r>
    </w:p>
    <w:p>
      <w:pPr>
        <w:widowControl/>
        <w:spacing w:line="360" w:lineRule="auto"/>
        <w:ind w:left="1"/>
        <w:jc w:val="both"/>
        <w:rPr>
          <w:rFonts w:hint="eastAsia" w:ascii="宋体" w:hAnsi="宋体"/>
          <w:b/>
          <w:sz w:val="24"/>
          <w:szCs w:val="24"/>
          <w:lang w:eastAsia="zh-CN"/>
        </w:rPr>
      </w:pPr>
    </w:p>
    <w:p>
      <w:pPr>
        <w:widowControl/>
        <w:spacing w:line="360" w:lineRule="auto"/>
        <w:ind w:left="0" w:leftChars="0" w:firstLine="0" w:firstLineChars="0"/>
        <w:jc w:val="both"/>
        <w:rPr>
          <w:rFonts w:ascii="宋体" w:hAnsi="宋体"/>
          <w:b/>
          <w:sz w:val="24"/>
          <w:szCs w:val="24"/>
        </w:rPr>
      </w:pPr>
      <w:r>
        <w:rPr>
          <w:rFonts w:hint="eastAsia" w:ascii="宋体" w:hAnsi="宋体" w:eastAsia="宋体" w:cs="Times New Roman"/>
          <w:b/>
          <w:sz w:val="24"/>
          <w:szCs w:val="24"/>
          <w:lang w:eastAsia="zh-CN"/>
        </w:rPr>
        <w:t>一、</w:t>
      </w:r>
      <w:r>
        <w:rPr>
          <w:rFonts w:hint="eastAsia" w:ascii="宋体" w:hAnsi="宋体" w:eastAsia="宋体" w:cs="Times New Roman"/>
          <w:b/>
          <w:sz w:val="24"/>
          <w:szCs w:val="24"/>
        </w:rPr>
        <w:t>符合性审查</w:t>
      </w:r>
    </w:p>
    <w:tbl>
      <w:tblPr>
        <w:tblStyle w:val="1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vAlign w:val="center"/>
          </w:tcPr>
          <w:p>
            <w:pPr>
              <w:spacing w:line="360" w:lineRule="auto"/>
              <w:ind w:firstLine="0" w:firstLineChars="0"/>
              <w:jc w:val="center"/>
              <w:rPr>
                <w:rFonts w:hint="eastAsia" w:ascii="宋体" w:hAnsi="宋体" w:eastAsia="宋体" w:cs="Arial"/>
                <w:b/>
                <w:sz w:val="24"/>
                <w:szCs w:val="24"/>
              </w:rPr>
            </w:pPr>
            <w:r>
              <w:rPr>
                <w:rFonts w:hint="eastAsia" w:ascii="宋体" w:hAnsi="宋体" w:eastAsia="宋体" w:cs="Arial"/>
                <w:b/>
                <w:sz w:val="24"/>
                <w:szCs w:val="24"/>
              </w:rPr>
              <w:t>审查类别</w:t>
            </w:r>
          </w:p>
        </w:tc>
        <w:tc>
          <w:tcPr>
            <w:tcW w:w="7561" w:type="dxa"/>
            <w:vAlign w:val="center"/>
          </w:tcPr>
          <w:p>
            <w:pPr>
              <w:spacing w:line="360" w:lineRule="auto"/>
              <w:ind w:firstLine="0" w:firstLineChars="0"/>
              <w:jc w:val="center"/>
              <w:rPr>
                <w:rFonts w:hint="eastAsia" w:ascii="宋体" w:hAnsi="宋体" w:eastAsia="宋体" w:cs="Arial"/>
                <w:b/>
                <w:sz w:val="24"/>
                <w:szCs w:val="24"/>
              </w:rPr>
            </w:pPr>
            <w:r>
              <w:rPr>
                <w:rFonts w:hint="eastAsia" w:ascii="宋体" w:hAnsi="宋体" w:eastAsia="宋体" w:cs="Arial"/>
                <w:b/>
                <w:sz w:val="24"/>
                <w:szCs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vMerge w:val="restart"/>
            <w:vAlign w:val="center"/>
          </w:tcPr>
          <w:p>
            <w:pPr>
              <w:tabs>
                <w:tab w:val="left" w:pos="927"/>
              </w:tabs>
              <w:spacing w:line="360" w:lineRule="auto"/>
              <w:ind w:left="0" w:leftChars="0" w:firstLine="0" w:firstLineChars="0"/>
              <w:jc w:val="center"/>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最终符合性审查</w:t>
            </w:r>
          </w:p>
        </w:tc>
        <w:tc>
          <w:tcPr>
            <w:tcW w:w="7561" w:type="dxa"/>
          </w:tcPr>
          <w:p>
            <w:pPr>
              <w:tabs>
                <w:tab w:val="left" w:pos="927"/>
              </w:tabs>
              <w:spacing w:line="360" w:lineRule="auto"/>
              <w:rPr>
                <w:rFonts w:hint="default" w:asciiTheme="majorEastAsia" w:hAnsiTheme="majorEastAsia" w:eastAsiaTheme="majorEastAsia" w:cstheme="majorEastAsia"/>
                <w:sz w:val="24"/>
                <w:szCs w:val="21"/>
                <w:lang w:val="en-US" w:eastAsia="zh-CN"/>
              </w:rPr>
            </w:pPr>
            <w:r>
              <w:rPr>
                <w:rFonts w:hint="eastAsia" w:asciiTheme="majorEastAsia" w:hAnsiTheme="majorEastAsia" w:eastAsiaTheme="majorEastAsia" w:cstheme="majorEastAsia"/>
                <w:sz w:val="24"/>
                <w:szCs w:val="21"/>
              </w:rPr>
              <w:t>最后报价确定且不高于最高限价；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vMerge w:val="continue"/>
          </w:tcPr>
          <w:p>
            <w:pPr>
              <w:tabs>
                <w:tab w:val="left" w:pos="927"/>
              </w:tabs>
              <w:spacing w:line="360" w:lineRule="auto"/>
              <w:rPr>
                <w:rFonts w:hint="eastAsia" w:asciiTheme="majorEastAsia" w:hAnsiTheme="majorEastAsia" w:eastAsiaTheme="majorEastAsia" w:cstheme="majorEastAsia"/>
                <w:sz w:val="24"/>
                <w:szCs w:val="21"/>
              </w:rPr>
            </w:pPr>
          </w:p>
        </w:tc>
        <w:tc>
          <w:tcPr>
            <w:tcW w:w="7561" w:type="dxa"/>
          </w:tcPr>
          <w:p>
            <w:pPr>
              <w:tabs>
                <w:tab w:val="left" w:pos="927"/>
              </w:tabs>
              <w:spacing w:line="360" w:lineRule="auto"/>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有盖章、签署要求的带★格式文件已按要求盖章、签署。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vMerge w:val="continue"/>
          </w:tcPr>
          <w:p>
            <w:pPr>
              <w:tabs>
                <w:tab w:val="left" w:pos="927"/>
              </w:tabs>
              <w:spacing w:line="360" w:lineRule="auto"/>
              <w:rPr>
                <w:rFonts w:hint="eastAsia" w:asciiTheme="majorEastAsia" w:hAnsiTheme="majorEastAsia" w:eastAsiaTheme="majorEastAsia" w:cstheme="majorEastAsia"/>
                <w:sz w:val="24"/>
                <w:szCs w:val="21"/>
              </w:rPr>
            </w:pPr>
          </w:p>
        </w:tc>
        <w:tc>
          <w:tcPr>
            <w:tcW w:w="7561" w:type="dxa"/>
          </w:tcPr>
          <w:p>
            <w:pPr>
              <w:tabs>
                <w:tab w:val="left" w:pos="927"/>
              </w:tabs>
              <w:spacing w:line="360" w:lineRule="auto"/>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响应文件完全满足</w:t>
            </w:r>
            <w:r>
              <w:rPr>
                <w:rFonts w:hint="eastAsia" w:asciiTheme="majorEastAsia" w:hAnsiTheme="majorEastAsia" w:eastAsiaTheme="majorEastAsia" w:cstheme="majorEastAsia"/>
                <w:sz w:val="24"/>
                <w:szCs w:val="21"/>
                <w:lang w:eastAsia="zh-CN"/>
              </w:rPr>
              <w:t>招标</w:t>
            </w:r>
            <w:r>
              <w:rPr>
                <w:rFonts w:hint="eastAsia" w:asciiTheme="majorEastAsia" w:hAnsiTheme="majorEastAsia" w:eastAsiaTheme="majorEastAsia" w:cstheme="majorEastAsia"/>
                <w:sz w:val="24"/>
                <w:szCs w:val="21"/>
              </w:rPr>
              <w:t>文件中带★号的条款和指标(审查《实质性响应条款一览表》)。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vMerge w:val="continue"/>
          </w:tcPr>
          <w:p>
            <w:pPr>
              <w:tabs>
                <w:tab w:val="left" w:pos="927"/>
              </w:tabs>
              <w:spacing w:line="360" w:lineRule="auto"/>
              <w:rPr>
                <w:rFonts w:hint="eastAsia" w:asciiTheme="majorEastAsia" w:hAnsiTheme="majorEastAsia" w:eastAsiaTheme="majorEastAsia" w:cstheme="majorEastAsia"/>
                <w:sz w:val="24"/>
                <w:szCs w:val="21"/>
              </w:rPr>
            </w:pPr>
          </w:p>
        </w:tc>
        <w:tc>
          <w:tcPr>
            <w:tcW w:w="7561" w:type="dxa"/>
          </w:tcPr>
          <w:p>
            <w:pPr>
              <w:tabs>
                <w:tab w:val="left" w:pos="927"/>
              </w:tabs>
              <w:spacing w:line="360" w:lineRule="auto"/>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未发现属无效响应的其他情形（见表末说明）。</w:t>
            </w:r>
          </w:p>
        </w:tc>
      </w:tr>
    </w:tbl>
    <w:p>
      <w:pPr>
        <w:widowControl/>
        <w:spacing w:line="360" w:lineRule="auto"/>
        <w:ind w:left="0" w:leftChars="0" w:firstLine="0" w:firstLineChars="0"/>
        <w:jc w:val="left"/>
        <w:rPr>
          <w:rFonts w:ascii="宋体" w:hAnsi="宋体"/>
          <w:b/>
          <w:sz w:val="24"/>
          <w:szCs w:val="24"/>
        </w:rPr>
      </w:pPr>
      <w:r>
        <w:rPr>
          <w:rFonts w:hint="eastAsia" w:ascii="宋体" w:hAnsi="宋体"/>
          <w:b/>
          <w:sz w:val="24"/>
          <w:szCs w:val="24"/>
        </w:rPr>
        <w:t>说明：以下为属无效响应的其他情形。</w:t>
      </w:r>
    </w:p>
    <w:p>
      <w:pPr>
        <w:tabs>
          <w:tab w:val="left" w:pos="927"/>
        </w:tabs>
        <w:spacing w:line="360" w:lineRule="auto"/>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lang w:eastAsia="zh-CN"/>
        </w:rPr>
        <w:t>（一）</w:t>
      </w:r>
      <w:r>
        <w:rPr>
          <w:rFonts w:hint="eastAsia" w:asciiTheme="majorEastAsia" w:hAnsiTheme="majorEastAsia" w:eastAsiaTheme="majorEastAsia" w:cstheme="majorEastAsia"/>
          <w:sz w:val="24"/>
          <w:szCs w:val="21"/>
        </w:rPr>
        <w:t>供应商对采购人、</w:t>
      </w:r>
      <w:r>
        <w:rPr>
          <w:rFonts w:hint="eastAsia" w:asciiTheme="majorEastAsia" w:hAnsiTheme="majorEastAsia" w:eastAsiaTheme="majorEastAsia" w:cstheme="majorEastAsia"/>
          <w:sz w:val="24"/>
          <w:szCs w:val="21"/>
          <w:lang w:eastAsia="zh-CN"/>
        </w:rPr>
        <w:t>评审委员会</w:t>
      </w:r>
      <w:r>
        <w:rPr>
          <w:rFonts w:hint="eastAsia" w:asciiTheme="majorEastAsia" w:hAnsiTheme="majorEastAsia" w:eastAsiaTheme="majorEastAsia" w:cstheme="majorEastAsia"/>
          <w:sz w:val="24"/>
          <w:szCs w:val="21"/>
        </w:rPr>
        <w:t>及其工作人员施加影响，有碍政府采购公平、公正的。</w:t>
      </w:r>
    </w:p>
    <w:p>
      <w:pPr>
        <w:tabs>
          <w:tab w:val="left" w:pos="927"/>
        </w:tabs>
        <w:spacing w:line="360" w:lineRule="auto"/>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lang w:eastAsia="zh-CN"/>
        </w:rPr>
        <w:t>（二）</w:t>
      </w:r>
      <w:r>
        <w:rPr>
          <w:rFonts w:hint="eastAsia" w:asciiTheme="majorEastAsia" w:hAnsiTheme="majorEastAsia" w:eastAsiaTheme="majorEastAsia" w:cstheme="majorEastAsia"/>
          <w:sz w:val="24"/>
          <w:szCs w:val="21"/>
        </w:rPr>
        <w:t>法律、法规和</w:t>
      </w:r>
      <w:r>
        <w:rPr>
          <w:rFonts w:hint="eastAsia" w:asciiTheme="majorEastAsia" w:hAnsiTheme="majorEastAsia" w:eastAsiaTheme="majorEastAsia" w:cstheme="majorEastAsia"/>
          <w:sz w:val="24"/>
          <w:szCs w:val="21"/>
          <w:lang w:eastAsia="zh-CN"/>
        </w:rPr>
        <w:t>招标</w:t>
      </w:r>
      <w:r>
        <w:rPr>
          <w:rFonts w:hint="eastAsia" w:asciiTheme="majorEastAsia" w:hAnsiTheme="majorEastAsia" w:eastAsiaTheme="majorEastAsia" w:cstheme="majorEastAsia"/>
          <w:sz w:val="24"/>
          <w:szCs w:val="21"/>
        </w:rPr>
        <w:t>文件规定的其他无效情形。</w:t>
      </w:r>
    </w:p>
    <w:p>
      <w:pPr>
        <w:tabs>
          <w:tab w:val="left" w:pos="927"/>
        </w:tabs>
        <w:spacing w:line="360" w:lineRule="auto"/>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lang w:val="en-US" w:eastAsia="zh-CN"/>
        </w:rPr>
        <w:t>1.</w:t>
      </w:r>
      <w:r>
        <w:rPr>
          <w:rFonts w:hint="eastAsia" w:asciiTheme="majorEastAsia" w:hAnsiTheme="majorEastAsia" w:eastAsiaTheme="majorEastAsia" w:cstheme="majorEastAsia"/>
          <w:sz w:val="24"/>
          <w:szCs w:val="21"/>
          <w:lang w:eastAsia="zh-CN"/>
        </w:rPr>
        <w:t>评审委员会</w:t>
      </w:r>
      <w:r>
        <w:rPr>
          <w:rFonts w:hint="eastAsia" w:asciiTheme="majorEastAsia" w:hAnsiTheme="majorEastAsia" w:eastAsiaTheme="majorEastAsia" w:cstheme="majorEastAsia"/>
          <w:sz w:val="24"/>
          <w:szCs w:val="21"/>
        </w:rPr>
        <w:t>认为，供应商的最后报价明显不合理或者明显低于其他供应商报价，有可能影响商品质量和不能诚信履约的，应当要求该供应商作出书面说明并提供相关证明材料。供应商不能合理说明或者不能提供相关证明材料的，由</w:t>
      </w:r>
      <w:r>
        <w:rPr>
          <w:rFonts w:hint="eastAsia" w:asciiTheme="majorEastAsia" w:hAnsiTheme="majorEastAsia" w:eastAsiaTheme="majorEastAsia" w:cstheme="majorEastAsia"/>
          <w:sz w:val="24"/>
          <w:szCs w:val="21"/>
          <w:lang w:eastAsia="zh-CN"/>
        </w:rPr>
        <w:t>评审委员会</w:t>
      </w:r>
      <w:r>
        <w:rPr>
          <w:rFonts w:hint="eastAsia" w:asciiTheme="majorEastAsia" w:hAnsiTheme="majorEastAsia" w:eastAsiaTheme="majorEastAsia" w:cstheme="majorEastAsia"/>
          <w:sz w:val="24"/>
          <w:szCs w:val="21"/>
        </w:rPr>
        <w:t>认定该供应商为低于成本报价，响应无效。</w:t>
      </w:r>
    </w:p>
    <w:p>
      <w:pPr>
        <w:tabs>
          <w:tab w:val="left" w:pos="927"/>
        </w:tabs>
        <w:spacing w:line="360" w:lineRule="auto"/>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lang w:val="en-US" w:eastAsia="zh-CN"/>
        </w:rPr>
        <w:t>2.</w:t>
      </w:r>
      <w:r>
        <w:rPr>
          <w:rFonts w:hint="eastAsia" w:asciiTheme="majorEastAsia" w:hAnsiTheme="majorEastAsia" w:eastAsiaTheme="majorEastAsia" w:cstheme="majorEastAsia"/>
          <w:sz w:val="24"/>
          <w:szCs w:val="21"/>
        </w:rPr>
        <w:t>对不通过符合性审查的供应商，</w:t>
      </w:r>
      <w:r>
        <w:rPr>
          <w:rFonts w:hint="eastAsia" w:asciiTheme="majorEastAsia" w:hAnsiTheme="majorEastAsia" w:eastAsiaTheme="majorEastAsia" w:cstheme="majorEastAsia"/>
          <w:sz w:val="24"/>
          <w:szCs w:val="21"/>
          <w:lang w:eastAsia="zh-CN"/>
        </w:rPr>
        <w:t>评审委员会</w:t>
      </w:r>
      <w:r>
        <w:rPr>
          <w:rFonts w:hint="eastAsia" w:asciiTheme="majorEastAsia" w:hAnsiTheme="majorEastAsia" w:eastAsiaTheme="majorEastAsia" w:cstheme="majorEastAsia"/>
          <w:sz w:val="24"/>
          <w:szCs w:val="21"/>
        </w:rPr>
        <w:t>应告知该供应商并说明理由。</w:t>
      </w:r>
    </w:p>
    <w:p>
      <w:pPr>
        <w:tabs>
          <w:tab w:val="left" w:pos="927"/>
        </w:tabs>
        <w:spacing w:line="360" w:lineRule="auto"/>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lang w:val="en-US" w:eastAsia="zh-CN"/>
        </w:rPr>
        <w:t>3.</w:t>
      </w:r>
      <w:r>
        <w:rPr>
          <w:rFonts w:hint="eastAsia" w:asciiTheme="majorEastAsia" w:hAnsiTheme="majorEastAsia" w:eastAsiaTheme="majorEastAsia" w:cstheme="majorEastAsia"/>
          <w:sz w:val="24"/>
          <w:szCs w:val="21"/>
        </w:rPr>
        <w:t>通过资格性和符合性审查的有效供应商方可进入综合评分阶段。如通过符合性审查少于3家时，</w:t>
      </w:r>
      <w:r>
        <w:rPr>
          <w:rFonts w:hint="eastAsia" w:asciiTheme="majorEastAsia" w:hAnsiTheme="majorEastAsia" w:eastAsiaTheme="majorEastAsia" w:cstheme="majorEastAsia"/>
          <w:sz w:val="24"/>
          <w:szCs w:val="21"/>
          <w:lang w:eastAsia="zh-CN"/>
        </w:rPr>
        <w:t>评审委员会</w:t>
      </w:r>
      <w:r>
        <w:rPr>
          <w:rFonts w:hint="eastAsia" w:asciiTheme="majorEastAsia" w:hAnsiTheme="majorEastAsia" w:eastAsiaTheme="majorEastAsia" w:cstheme="majorEastAsia"/>
          <w:sz w:val="24"/>
          <w:szCs w:val="21"/>
        </w:rPr>
        <w:t>宣布项目采购失败。</w:t>
      </w:r>
    </w:p>
    <w:p>
      <w:pPr>
        <w:pStyle w:val="2"/>
      </w:pPr>
    </w:p>
    <w:p>
      <w:pPr>
        <w:tabs>
          <w:tab w:val="left" w:pos="927"/>
        </w:tabs>
        <w:spacing w:line="360" w:lineRule="auto"/>
        <w:ind w:left="0" w:leftChars="0" w:firstLine="0" w:firstLineChars="0"/>
        <w:rPr>
          <w:rFonts w:hint="eastAsia" w:asciiTheme="majorEastAsia" w:hAnsiTheme="majorEastAsia" w:eastAsiaTheme="majorEastAsia" w:cstheme="majorEastAsia"/>
          <w:b/>
          <w:sz w:val="24"/>
          <w:szCs w:val="21"/>
        </w:rPr>
      </w:pPr>
      <w:r>
        <w:rPr>
          <w:rFonts w:hint="eastAsia" w:asciiTheme="majorEastAsia" w:hAnsiTheme="majorEastAsia" w:eastAsiaTheme="majorEastAsia" w:cstheme="majorEastAsia"/>
          <w:b/>
          <w:sz w:val="24"/>
          <w:szCs w:val="21"/>
          <w:lang w:eastAsia="zh-CN"/>
        </w:rPr>
        <w:t>二、综合评分</w:t>
      </w:r>
    </w:p>
    <w:p>
      <w:pPr>
        <w:tabs>
          <w:tab w:val="left" w:pos="927"/>
        </w:tabs>
        <w:spacing w:line="360" w:lineRule="auto"/>
        <w:rPr>
          <w:rFonts w:hint="eastAsia" w:asciiTheme="majorEastAsia" w:hAnsiTheme="majorEastAsia" w:eastAsiaTheme="majorEastAsia" w:cstheme="majorEastAsia"/>
          <w:b/>
          <w:sz w:val="24"/>
          <w:szCs w:val="21"/>
        </w:rPr>
      </w:pPr>
      <w:r>
        <w:rPr>
          <w:rFonts w:hint="eastAsia" w:asciiTheme="majorEastAsia" w:hAnsiTheme="majorEastAsia" w:eastAsiaTheme="majorEastAsia" w:cstheme="majorEastAsia"/>
          <w:b/>
          <w:sz w:val="24"/>
          <w:szCs w:val="21"/>
        </w:rPr>
        <w:t>本项目采用综合评分法</w:t>
      </w:r>
    </w:p>
    <w:p>
      <w:pPr>
        <w:tabs>
          <w:tab w:val="left" w:pos="927"/>
        </w:tabs>
        <w:spacing w:line="360" w:lineRule="auto"/>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b/>
          <w:sz w:val="24"/>
          <w:szCs w:val="21"/>
        </w:rPr>
        <w:t>中标依据</w:t>
      </w:r>
      <w:r>
        <w:rPr>
          <w:rFonts w:hint="eastAsia" w:asciiTheme="majorEastAsia" w:hAnsiTheme="majorEastAsia" w:eastAsiaTheme="majorEastAsia" w:cstheme="majorEastAsia"/>
          <w:sz w:val="24"/>
          <w:szCs w:val="21"/>
        </w:rPr>
        <w:t>：在不高于最高限价的前提下，综合评估分最高的为中标候选人。</w:t>
      </w:r>
    </w:p>
    <w:p>
      <w:pPr>
        <w:spacing w:line="360" w:lineRule="auto"/>
        <w:rPr>
          <w:rFonts w:hint="eastAsia" w:asciiTheme="majorEastAsia" w:hAnsiTheme="majorEastAsia" w:eastAsiaTheme="majorEastAsia" w:cstheme="majorEastAsia"/>
          <w:b/>
          <w:sz w:val="24"/>
          <w:szCs w:val="21"/>
          <w:lang w:val="zh-CN"/>
        </w:rPr>
      </w:pPr>
      <w:r>
        <w:rPr>
          <w:rFonts w:hint="eastAsia" w:asciiTheme="majorEastAsia" w:hAnsiTheme="majorEastAsia" w:eastAsiaTheme="majorEastAsia" w:cstheme="majorEastAsia"/>
          <w:b/>
          <w:sz w:val="24"/>
          <w:szCs w:val="21"/>
          <w:lang w:val="zh-CN"/>
        </w:rPr>
        <w:t>综合评估分的计算和排序</w:t>
      </w:r>
    </w:p>
    <w:p>
      <w:pPr>
        <w:spacing w:line="360" w:lineRule="auto"/>
        <w:ind w:left="709"/>
        <w:rPr>
          <w:rFonts w:hint="eastAsia" w:asciiTheme="majorEastAsia" w:hAnsiTheme="majorEastAsia" w:eastAsiaTheme="majorEastAsia" w:cstheme="majorEastAsia"/>
          <w:b/>
          <w:bCs/>
          <w:sz w:val="24"/>
          <w:szCs w:val="21"/>
        </w:rPr>
      </w:pPr>
      <w:r>
        <w:rPr>
          <w:rFonts w:hint="eastAsia" w:asciiTheme="majorEastAsia" w:hAnsiTheme="majorEastAsia" w:eastAsiaTheme="majorEastAsia" w:cstheme="majorEastAsia"/>
          <w:sz w:val="24"/>
          <w:szCs w:val="21"/>
        </w:rPr>
        <w:t>综合评估分中各评估因素所占权重（见下表）</w:t>
      </w:r>
      <w:bookmarkStart w:id="6" w:name="SubDocScoreRule"/>
    </w:p>
    <w:tbl>
      <w:tblPr>
        <w:tblStyle w:val="18"/>
        <w:tblW w:w="9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2421"/>
        <w:gridCol w:w="2421"/>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ajorEastAsia" w:hAnsiTheme="majorEastAsia" w:eastAsiaTheme="majorEastAsia" w:cstheme="majorEastAsia"/>
                <w:b/>
                <w:bCs/>
                <w:sz w:val="24"/>
                <w:szCs w:val="21"/>
              </w:rPr>
            </w:pPr>
            <w:r>
              <w:rPr>
                <w:rFonts w:hint="eastAsia" w:asciiTheme="majorEastAsia" w:hAnsiTheme="majorEastAsia" w:eastAsiaTheme="majorEastAsia" w:cstheme="majorEastAsia"/>
                <w:b/>
                <w:bCs/>
                <w:sz w:val="24"/>
                <w:szCs w:val="21"/>
              </w:rPr>
              <w:t>评估因素</w:t>
            </w: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b/>
                <w:bCs/>
                <w:sz w:val="24"/>
                <w:szCs w:val="21"/>
              </w:rPr>
            </w:pPr>
            <w:r>
              <w:rPr>
                <w:rFonts w:hint="eastAsia" w:asciiTheme="majorEastAsia" w:hAnsiTheme="majorEastAsia" w:eastAsiaTheme="majorEastAsia" w:cstheme="majorEastAsia"/>
                <w:b/>
                <w:bCs/>
                <w:sz w:val="24"/>
                <w:szCs w:val="21"/>
              </w:rPr>
              <w:t>价格</w:t>
            </w: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b/>
                <w:bCs/>
                <w:sz w:val="24"/>
                <w:szCs w:val="21"/>
              </w:rPr>
            </w:pPr>
            <w:r>
              <w:rPr>
                <w:rFonts w:hint="eastAsia" w:asciiTheme="majorEastAsia" w:hAnsiTheme="majorEastAsia" w:eastAsiaTheme="majorEastAsia" w:cstheme="majorEastAsia"/>
                <w:b/>
                <w:bCs/>
                <w:sz w:val="24"/>
                <w:szCs w:val="21"/>
              </w:rPr>
              <w:t>技术</w:t>
            </w: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b/>
                <w:bCs/>
                <w:sz w:val="24"/>
                <w:szCs w:val="21"/>
              </w:rPr>
            </w:pPr>
            <w:r>
              <w:rPr>
                <w:rFonts w:hint="eastAsia" w:asciiTheme="majorEastAsia" w:hAnsiTheme="majorEastAsia" w:eastAsiaTheme="majorEastAsia" w:cstheme="majorEastAsia"/>
                <w:b/>
                <w:bCs/>
                <w:sz w:val="24"/>
                <w:szCs w:val="21"/>
              </w:rPr>
              <w:t>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heme="majorEastAsia" w:hAnsiTheme="majorEastAsia" w:eastAsiaTheme="majorEastAsia" w:cstheme="majorEastAsia"/>
                <w:bCs/>
                <w:sz w:val="24"/>
                <w:szCs w:val="21"/>
              </w:rPr>
            </w:pPr>
            <w:r>
              <w:rPr>
                <w:rFonts w:hint="eastAsia" w:asciiTheme="majorEastAsia" w:hAnsiTheme="majorEastAsia" w:eastAsiaTheme="majorEastAsia" w:cstheme="majorEastAsia"/>
                <w:bCs/>
                <w:sz w:val="24"/>
                <w:szCs w:val="21"/>
              </w:rPr>
              <w:t>评估权重</w:t>
            </w: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bCs/>
                <w:sz w:val="24"/>
                <w:szCs w:val="21"/>
                <w:lang w:val="en-US"/>
              </w:rPr>
            </w:pPr>
            <w:r>
              <w:rPr>
                <w:rFonts w:hint="eastAsia" w:asciiTheme="majorEastAsia" w:hAnsiTheme="majorEastAsia" w:eastAsiaTheme="majorEastAsia" w:cstheme="majorEastAsia"/>
                <w:bCs/>
                <w:sz w:val="24"/>
                <w:szCs w:val="21"/>
                <w:lang w:val="en-US" w:eastAsia="zh-CN"/>
              </w:rPr>
              <w:t>15</w:t>
            </w: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bCs/>
                <w:sz w:val="24"/>
                <w:szCs w:val="21"/>
                <w:lang w:val="en-US" w:eastAsia="zh-CN"/>
              </w:rPr>
            </w:pPr>
            <w:r>
              <w:rPr>
                <w:rFonts w:hint="eastAsia" w:asciiTheme="majorEastAsia" w:hAnsiTheme="majorEastAsia" w:eastAsiaTheme="majorEastAsia" w:cstheme="majorEastAsia"/>
                <w:bCs/>
                <w:sz w:val="24"/>
                <w:szCs w:val="21"/>
                <w:lang w:val="en-US" w:eastAsia="zh-CN"/>
              </w:rPr>
              <w:t>55</w:t>
            </w:r>
          </w:p>
        </w:tc>
        <w:tc>
          <w:tcPr>
            <w:tcW w:w="24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ajorEastAsia" w:hAnsiTheme="majorEastAsia" w:eastAsiaTheme="majorEastAsia" w:cstheme="majorEastAsia"/>
                <w:bCs/>
                <w:sz w:val="24"/>
                <w:szCs w:val="21"/>
                <w:lang w:val="en-US" w:eastAsia="zh-CN"/>
              </w:rPr>
            </w:pPr>
            <w:r>
              <w:rPr>
                <w:rFonts w:hint="eastAsia" w:asciiTheme="majorEastAsia" w:hAnsiTheme="majorEastAsia" w:eastAsiaTheme="majorEastAsia" w:cstheme="majorEastAsia"/>
                <w:bCs/>
                <w:sz w:val="24"/>
                <w:szCs w:val="21"/>
                <w:lang w:val="en-US" w:eastAsia="zh-CN"/>
              </w:rPr>
              <w:t>30</w:t>
            </w:r>
          </w:p>
        </w:tc>
      </w:tr>
      <w:bookmarkEnd w:id="6"/>
    </w:tbl>
    <w:p>
      <w:pPr>
        <w:pStyle w:val="25"/>
        <w:numPr>
          <w:ilvl w:val="0"/>
          <w:numId w:val="3"/>
        </w:numPr>
        <w:spacing w:line="360" w:lineRule="auto"/>
        <w:ind w:firstLineChars="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综合评估分</w:t>
      </w:r>
      <w:bookmarkStart w:id="7" w:name="CompositeScoreDesc"/>
      <w:r>
        <w:rPr>
          <w:rFonts w:hint="eastAsia" w:asciiTheme="majorEastAsia" w:hAnsiTheme="majorEastAsia" w:eastAsiaTheme="majorEastAsia" w:cstheme="majorEastAsia"/>
          <w:sz w:val="24"/>
          <w:szCs w:val="21"/>
        </w:rPr>
        <w:t>（精确到小数点后两位）=技术得分+商务得分+价格得分；</w:t>
      </w:r>
      <w:bookmarkEnd w:id="7"/>
    </w:p>
    <w:p>
      <w:pPr>
        <w:pStyle w:val="25"/>
        <w:numPr>
          <w:ilvl w:val="0"/>
          <w:numId w:val="3"/>
        </w:numPr>
        <w:spacing w:line="360" w:lineRule="auto"/>
        <w:ind w:firstLineChars="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将综合评估分从高到低排序，得分相同的，按投标报价由低到高顺序排列。得分且投标报价相同的，按技术得分高低顺序排列；</w:t>
      </w:r>
    </w:p>
    <w:p>
      <w:pPr>
        <w:pStyle w:val="26"/>
        <w:ind w:left="0" w:firstLine="0"/>
        <w:rPr>
          <w:rFonts w:hint="eastAsia" w:asciiTheme="majorEastAsia" w:hAnsiTheme="majorEastAsia" w:eastAsiaTheme="majorEastAsia" w:cstheme="majorEastAsia"/>
          <w:sz w:val="24"/>
          <w:szCs w:val="21"/>
        </w:rPr>
      </w:pPr>
      <w:bookmarkStart w:id="8" w:name="_Toc499035957"/>
      <w:bookmarkStart w:id="9" w:name="_Toc488358585"/>
      <w:r>
        <w:rPr>
          <w:rFonts w:hint="eastAsia" w:asciiTheme="majorEastAsia" w:hAnsiTheme="majorEastAsia" w:eastAsiaTheme="majorEastAsia" w:cstheme="majorEastAsia"/>
          <w:sz w:val="24"/>
          <w:szCs w:val="21"/>
        </w:rPr>
        <w:t>价格评定</w:t>
      </w:r>
      <w:bookmarkEnd w:id="8"/>
      <w:bookmarkEnd w:id="9"/>
    </w:p>
    <w:p>
      <w:pPr>
        <w:pStyle w:val="25"/>
        <w:numPr>
          <w:ilvl w:val="0"/>
          <w:numId w:val="4"/>
        </w:numPr>
        <w:spacing w:line="360" w:lineRule="auto"/>
        <w:ind w:firstLineChars="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由评标委员会对所有投标文件的价格部分的响应进行审核和分析。</w:t>
      </w:r>
    </w:p>
    <w:p>
      <w:pPr>
        <w:pStyle w:val="25"/>
        <w:numPr>
          <w:ilvl w:val="0"/>
          <w:numId w:val="4"/>
        </w:numPr>
        <w:spacing w:line="360" w:lineRule="auto"/>
        <w:ind w:firstLineChars="0"/>
        <w:rPr>
          <w:rFonts w:hint="eastAsia" w:asciiTheme="majorEastAsia" w:hAnsiTheme="majorEastAsia" w:eastAsiaTheme="majorEastAsia" w:cstheme="majorEastAsia"/>
          <w:sz w:val="24"/>
          <w:szCs w:val="21"/>
        </w:rPr>
      </w:pPr>
      <w:bookmarkStart w:id="10" w:name="PriceRuleDesc"/>
      <w:bookmarkStart w:id="11" w:name="PriceLastNumber"/>
      <w:r>
        <w:rPr>
          <w:rFonts w:hint="eastAsia" w:asciiTheme="majorEastAsia" w:hAnsiTheme="majorEastAsia" w:eastAsiaTheme="majorEastAsia" w:cstheme="majorEastAsia"/>
          <w:sz w:val="24"/>
          <w:szCs w:val="21"/>
        </w:rPr>
        <w:t>基准价格分：以有效投标人报价中价格最低的投标报价为基准价，定其基准价格分为</w:t>
      </w:r>
      <w:r>
        <w:rPr>
          <w:rFonts w:hint="eastAsia" w:asciiTheme="majorEastAsia" w:hAnsiTheme="majorEastAsia" w:eastAsiaTheme="majorEastAsia" w:cstheme="majorEastAsia"/>
          <w:sz w:val="24"/>
          <w:szCs w:val="21"/>
          <w:lang w:val="en-US" w:eastAsia="zh-CN"/>
        </w:rPr>
        <w:t>15</w:t>
      </w:r>
      <w:r>
        <w:rPr>
          <w:rFonts w:hint="eastAsia" w:asciiTheme="majorEastAsia" w:hAnsiTheme="majorEastAsia" w:eastAsiaTheme="majorEastAsia" w:cstheme="majorEastAsia"/>
          <w:sz w:val="24"/>
          <w:szCs w:val="21"/>
        </w:rPr>
        <w:t>分。</w:t>
      </w:r>
    </w:p>
    <w:p>
      <w:pPr>
        <w:pStyle w:val="25"/>
        <w:numPr>
          <w:ilvl w:val="0"/>
          <w:numId w:val="4"/>
        </w:numPr>
        <w:spacing w:line="360" w:lineRule="auto"/>
        <w:ind w:firstLineChars="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投标人的价格得分=（评标基准价 / 投标人报价）×</w:t>
      </w:r>
      <w:r>
        <w:rPr>
          <w:rFonts w:hint="eastAsia" w:asciiTheme="majorEastAsia" w:hAnsiTheme="majorEastAsia" w:eastAsiaTheme="majorEastAsia" w:cstheme="majorEastAsia"/>
          <w:sz w:val="24"/>
          <w:szCs w:val="21"/>
          <w:lang w:val="en-US" w:eastAsia="zh-CN"/>
        </w:rPr>
        <w:t>15</w:t>
      </w:r>
      <w:r>
        <w:rPr>
          <w:rFonts w:hint="eastAsia" w:asciiTheme="majorEastAsia" w:hAnsiTheme="majorEastAsia" w:eastAsiaTheme="majorEastAsia" w:cstheme="majorEastAsia"/>
          <w:sz w:val="24"/>
          <w:szCs w:val="21"/>
        </w:rPr>
        <w:t>（精确到小数点后两位）分。由此算出每个投标人的“价格得分”。</w:t>
      </w:r>
    </w:p>
    <w:bookmarkEnd w:id="10"/>
    <w:bookmarkEnd w:id="11"/>
    <w:p>
      <w:pPr>
        <w:pStyle w:val="25"/>
        <w:numPr>
          <w:ilvl w:val="0"/>
          <w:numId w:val="4"/>
        </w:numPr>
        <w:spacing w:line="360" w:lineRule="auto"/>
        <w:ind w:firstLineChars="0"/>
        <w:rPr>
          <w:rFonts w:hint="eastAsia" w:asciiTheme="majorEastAsia" w:hAnsiTheme="majorEastAsia" w:eastAsiaTheme="majorEastAsia" w:cstheme="majorEastAsia"/>
          <w:sz w:val="24"/>
          <w:szCs w:val="21"/>
        </w:rPr>
      </w:pPr>
      <w:r>
        <w:rPr>
          <w:rFonts w:hint="eastAsia" w:asciiTheme="majorEastAsia" w:hAnsiTheme="majorEastAsia" w:eastAsiaTheme="majorEastAsia" w:cstheme="majorEastAsia"/>
          <w:sz w:val="24"/>
          <w:szCs w:val="21"/>
        </w:rPr>
        <w:t>评委检查每个投标人的价格评分计算情况，确认“价格得分”。</w:t>
      </w:r>
      <w:bookmarkStart w:id="12" w:name="IsHasSample2"/>
      <w:bookmarkEnd w:id="12"/>
      <w:bookmarkStart w:id="13" w:name="NotRequestDemoOrRequestInstantReply"/>
      <w:bookmarkEnd w:id="13"/>
    </w:p>
    <w:p>
      <w:pPr>
        <w:pStyle w:val="26"/>
        <w:ind w:left="0" w:firstLine="0"/>
        <w:rPr>
          <w:rFonts w:hint="eastAsia" w:asciiTheme="majorEastAsia" w:hAnsiTheme="majorEastAsia" w:eastAsiaTheme="majorEastAsia" w:cstheme="majorEastAsia"/>
          <w:sz w:val="24"/>
          <w:szCs w:val="21"/>
        </w:rPr>
      </w:pPr>
      <w:bookmarkStart w:id="14" w:name="_Toc488358586"/>
      <w:bookmarkStart w:id="15" w:name="_Toc499035958"/>
      <w:r>
        <w:rPr>
          <w:rFonts w:hint="eastAsia" w:asciiTheme="majorEastAsia" w:hAnsiTheme="majorEastAsia" w:eastAsiaTheme="majorEastAsia" w:cstheme="majorEastAsia"/>
          <w:sz w:val="24"/>
          <w:szCs w:val="21"/>
        </w:rPr>
        <w:t>技术商务评定</w:t>
      </w:r>
      <w:bookmarkEnd w:id="14"/>
      <w:bookmarkEnd w:id="15"/>
    </w:p>
    <w:tbl>
      <w:tblPr>
        <w:tblStyle w:val="18"/>
        <w:tblpPr w:leftFromText="180" w:rightFromText="180" w:vertAnchor="text" w:horzAnchor="margin" w:tblpXSpec="center" w:tblpY="10"/>
        <w:tblW w:w="8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38"/>
        <w:gridCol w:w="5410"/>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分项名称</w:t>
            </w:r>
          </w:p>
        </w:tc>
        <w:tc>
          <w:tcPr>
            <w:tcW w:w="5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评分标准</w:t>
            </w:r>
          </w:p>
        </w:tc>
        <w:tc>
          <w:tcPr>
            <w:tcW w:w="89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32" w:type="dxa"/>
            <w:vMerge w:val="restart"/>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技术部分</w:t>
            </w:r>
          </w:p>
          <w:p>
            <w:pPr>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55</w:t>
            </w:r>
            <w:r>
              <w:rPr>
                <w:rFonts w:hint="eastAsia" w:asciiTheme="majorEastAsia" w:hAnsiTheme="majorEastAsia" w:eastAsiaTheme="majorEastAsia" w:cstheme="majorEastAsia"/>
                <w:sz w:val="24"/>
                <w:szCs w:val="24"/>
              </w:rPr>
              <w:t>分）</w:t>
            </w:r>
          </w:p>
        </w:tc>
        <w:tc>
          <w:tcPr>
            <w:tcW w:w="1238"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技术方案</w:t>
            </w:r>
          </w:p>
        </w:tc>
        <w:tc>
          <w:tcPr>
            <w:tcW w:w="5410"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1、投标人应透彻理解项目需求，提供项目分析方案，经评审贴合采购人实际情况的得5分，基本符合的得3分，较差或不提供的不得分。</w:t>
            </w:r>
          </w:p>
          <w:p>
            <w:p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2、对投标人提供的建设方案进行评审：</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①建设内容有相应的设计依据和标准，方案完善并提供相应的弱电、设备、网络接口、电话接口设计图，可行性较高的得20分</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②方案设计一般，基本满足招标要求的得10分</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③方案较差或不提供的不得分。</w:t>
            </w:r>
          </w:p>
        </w:tc>
        <w:tc>
          <w:tcPr>
            <w:tcW w:w="89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32" w:type="dxa"/>
            <w:vMerge w:val="continue"/>
            <w:tcBorders>
              <w:left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实施方案</w:t>
            </w:r>
          </w:p>
        </w:tc>
        <w:tc>
          <w:tcPr>
            <w:tcW w:w="5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根据投标人针对本项目提供的实施方案（实施计划、项目管理与协调、应急方案、质量保障措施）等进行评审：方案内容完整、详细、表述清晰、科学合理、切实可行，得</w:t>
            </w:r>
            <w:r>
              <w:rPr>
                <w:rFonts w:hint="eastAsia" w:asciiTheme="majorEastAsia" w:hAnsiTheme="majorEastAsia" w:eastAsiaTheme="majorEastAsia" w:cstheme="majorEastAsia"/>
                <w:sz w:val="24"/>
                <w:szCs w:val="24"/>
                <w:lang w:val="en-US" w:eastAsia="zh-CN"/>
              </w:rPr>
              <w:t>20</w:t>
            </w:r>
            <w:r>
              <w:rPr>
                <w:rFonts w:hint="eastAsia" w:asciiTheme="majorEastAsia" w:hAnsiTheme="majorEastAsia" w:eastAsiaTheme="majorEastAsia" w:cstheme="majorEastAsia"/>
                <w:sz w:val="24"/>
                <w:szCs w:val="24"/>
              </w:rPr>
              <w:t>分；方案内容比较完整、详细、表述清晰、比较合理、可行，得</w:t>
            </w: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分；方案内容基本完整、详细、表述基本清晰、合理、可行性稍差得</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分；没有提供方案或方案被评定为不可行的不得分。</w:t>
            </w:r>
          </w:p>
        </w:tc>
        <w:tc>
          <w:tcPr>
            <w:tcW w:w="89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32" w:type="dxa"/>
            <w:vMerge w:val="continue"/>
            <w:tcBorders>
              <w:left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p>
        </w:tc>
        <w:tc>
          <w:tcPr>
            <w:tcW w:w="1238"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运维售后服务</w:t>
            </w:r>
          </w:p>
        </w:tc>
        <w:tc>
          <w:tcPr>
            <w:tcW w:w="5410" w:type="dxa"/>
            <w:tcBorders>
              <w:top w:val="single" w:color="auto" w:sz="4" w:space="0"/>
              <w:left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根据投标人针对本项目提供的售后服务方案（服务机构、服务内容、服务方式、服务承诺）等进行评审：方案内容完整、详细、表述清晰、科学合理、切实可行，得</w:t>
            </w:r>
            <w:r>
              <w:rPr>
                <w:rFonts w:hint="eastAsia" w:asciiTheme="majorEastAsia" w:hAnsiTheme="majorEastAsia" w:eastAsiaTheme="majorEastAsia" w:cstheme="majorEastAsia"/>
                <w:sz w:val="24"/>
                <w:szCs w:val="24"/>
                <w:lang w:val="en-US" w:eastAsia="zh-CN"/>
              </w:rPr>
              <w:t>15</w:t>
            </w:r>
            <w:r>
              <w:rPr>
                <w:rFonts w:hint="eastAsia" w:asciiTheme="majorEastAsia" w:hAnsiTheme="majorEastAsia" w:eastAsiaTheme="majorEastAsia" w:cstheme="majorEastAsia"/>
                <w:sz w:val="24"/>
                <w:szCs w:val="24"/>
              </w:rPr>
              <w:t>分；方案内容比较完整、详细、表述清晰、比较合理、可行，得</w:t>
            </w: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分；方案内容基本完整、详细、表述基本清晰、合理、可行性稍差得</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分；没有提供方案或方案被评定为不可行的不得分。</w:t>
            </w:r>
          </w:p>
        </w:tc>
        <w:tc>
          <w:tcPr>
            <w:tcW w:w="897"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32" w:type="dxa"/>
            <w:vMerge w:val="restart"/>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商务部分</w:t>
            </w:r>
          </w:p>
          <w:p>
            <w:pPr>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30</w:t>
            </w:r>
            <w:r>
              <w:rPr>
                <w:rFonts w:hint="eastAsia" w:asciiTheme="majorEastAsia" w:hAnsiTheme="majorEastAsia" w:eastAsiaTheme="majorEastAsia" w:cstheme="majorEastAsia"/>
                <w:sz w:val="24"/>
                <w:szCs w:val="24"/>
              </w:rPr>
              <w:t>分）</w:t>
            </w:r>
          </w:p>
        </w:tc>
        <w:tc>
          <w:tcPr>
            <w:tcW w:w="1238"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项目经理资质</w:t>
            </w:r>
          </w:p>
        </w:tc>
        <w:tc>
          <w:tcPr>
            <w:tcW w:w="5410" w:type="dxa"/>
            <w:tcBorders>
              <w:top w:val="single" w:color="auto" w:sz="4" w:space="0"/>
              <w:left w:val="single" w:color="auto" w:sz="4" w:space="0"/>
              <w:right w:val="single" w:color="auto" w:sz="4" w:space="0"/>
            </w:tcBorders>
            <w:noWrap w:val="0"/>
            <w:vAlign w:val="center"/>
          </w:tcPr>
          <w:p>
            <w:pPr>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参与本项目的项目经理具有高级工程师相关资质证书（信息系统项目管理师或PMP等证书），</w:t>
            </w:r>
            <w:r>
              <w:rPr>
                <w:rFonts w:hint="eastAsia" w:asciiTheme="majorEastAsia" w:hAnsiTheme="majorEastAsia" w:eastAsiaTheme="majorEastAsia" w:cstheme="majorEastAsia"/>
                <w:sz w:val="24"/>
                <w:szCs w:val="24"/>
                <w:lang w:val="en-US" w:eastAsia="zh-CN"/>
              </w:rPr>
              <w:t>每个证书得4分，最高8分，</w:t>
            </w:r>
            <w:r>
              <w:rPr>
                <w:rFonts w:hint="eastAsia" w:asciiTheme="majorEastAsia" w:hAnsiTheme="majorEastAsia" w:eastAsiaTheme="majorEastAsia" w:cstheme="majorEastAsia"/>
                <w:sz w:val="24"/>
                <w:szCs w:val="24"/>
              </w:rPr>
              <w:t>具有5年以上工作经验（以取得本科毕业证的时间起算）得2分。</w:t>
            </w:r>
          </w:p>
        </w:tc>
        <w:tc>
          <w:tcPr>
            <w:tcW w:w="897"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32" w:type="dxa"/>
            <w:vMerge w:val="continue"/>
            <w:tcBorders>
              <w:left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p>
        </w:tc>
        <w:tc>
          <w:tcPr>
            <w:tcW w:w="1238"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技术服务团队</w:t>
            </w:r>
          </w:p>
        </w:tc>
        <w:tc>
          <w:tcPr>
            <w:tcW w:w="5410" w:type="dxa"/>
            <w:tcBorders>
              <w:top w:val="single" w:color="auto" w:sz="4" w:space="0"/>
              <w:left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本项目的服务团队中，专业技术成员中具有系统集成项目管理工程师、网络工程师</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信息安全保障人员认证等证书。每提供1项得</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分，最多得</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分。</w:t>
            </w:r>
          </w:p>
          <w:p>
            <w:pP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rPr>
              <w:t>注：须提供证书复印件加盖投标单位公章及相应人员最近6个月的社保连续缴费证明加盖投标单位公章，否则不得分。</w:t>
            </w:r>
          </w:p>
        </w:tc>
        <w:tc>
          <w:tcPr>
            <w:tcW w:w="897"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32" w:type="dxa"/>
            <w:vMerge w:val="continue"/>
            <w:tcBorders>
              <w:left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p>
        </w:tc>
        <w:tc>
          <w:tcPr>
            <w:tcW w:w="1238"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供应商认证证书情况</w:t>
            </w:r>
          </w:p>
        </w:tc>
        <w:tc>
          <w:tcPr>
            <w:tcW w:w="5410" w:type="dxa"/>
            <w:tcBorders>
              <w:top w:val="single" w:color="auto" w:sz="4" w:space="0"/>
              <w:left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1、投标人具有有效期内的质量管理体系认证证书得4分，</w:t>
            </w:r>
            <w:r>
              <w:rPr>
                <w:rFonts w:hint="eastAsia" w:asciiTheme="majorEastAsia" w:hAnsiTheme="majorEastAsia" w:eastAsiaTheme="majorEastAsia" w:cstheme="majorEastAsia"/>
                <w:sz w:val="24"/>
                <w:szCs w:val="24"/>
              </w:rPr>
              <w:t>没有或其他不得分。</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2、投标人具有有效期内的环境管理体系认证证书得4分，</w:t>
            </w:r>
            <w:r>
              <w:rPr>
                <w:rFonts w:hint="eastAsia" w:asciiTheme="majorEastAsia" w:hAnsiTheme="majorEastAsia" w:eastAsiaTheme="majorEastAsia" w:cstheme="majorEastAsia"/>
                <w:sz w:val="24"/>
                <w:szCs w:val="24"/>
              </w:rPr>
              <w:t>没有或其他不得分。</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3、投标人具有有效期内中国网络安全审查技术与认证中心颁发的信息系统安全集成服务资质证书得6分，</w:t>
            </w:r>
            <w:r>
              <w:rPr>
                <w:rFonts w:hint="eastAsia" w:asciiTheme="majorEastAsia" w:hAnsiTheme="majorEastAsia" w:eastAsiaTheme="majorEastAsia" w:cstheme="majorEastAsia"/>
                <w:sz w:val="24"/>
                <w:szCs w:val="24"/>
              </w:rPr>
              <w:t>没有或其他不得分</w:t>
            </w:r>
            <w:r>
              <w:rPr>
                <w:rFonts w:hint="eastAsia" w:asciiTheme="majorEastAsia" w:hAnsiTheme="majorEastAsia" w:eastAsiaTheme="majorEastAsia" w:cstheme="majorEastAsia"/>
                <w:sz w:val="24"/>
                <w:szCs w:val="24"/>
                <w:lang w:val="en-US" w:eastAsia="zh-CN"/>
              </w:rPr>
              <w:t>。</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注：以上证书需于招标公告发出前取得，附相关证书复印件并加盖投标人单位公章。注：以上证书需于招标公告发出前取得，附相关证书复印件并加盖投标人单位公章。</w:t>
            </w:r>
          </w:p>
        </w:tc>
        <w:tc>
          <w:tcPr>
            <w:tcW w:w="897" w:type="dxa"/>
            <w:tcBorders>
              <w:top w:val="single" w:color="auto" w:sz="4" w:space="0"/>
              <w:left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232"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  计</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54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9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85分</w:t>
            </w:r>
          </w:p>
        </w:tc>
      </w:tr>
    </w:tbl>
    <w:p>
      <w:pPr>
        <w:pStyle w:val="26"/>
        <w:numPr>
          <w:ilvl w:val="0"/>
          <w:numId w:val="0"/>
        </w:numPr>
        <w:rPr>
          <w:sz w:val="24"/>
        </w:rPr>
      </w:pPr>
      <w:bookmarkStart w:id="16" w:name="_Hlk37860537"/>
      <w:r>
        <w:rPr>
          <w:rFonts w:hint="eastAsia"/>
          <w:sz w:val="24"/>
        </w:rPr>
        <w:t>说明：</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1、请投标人严格按照要求提交相关证明材料，否则有可能影响评审结果。</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2、将所有评标委员会成员所评各项的得分进行算术平均（按四舍五入原则精确到小数点后三位），再汇总得出该投标人的评分（按四舍五入原则精确到小数点后两位）。</w:t>
      </w:r>
      <w:bookmarkEnd w:id="16"/>
    </w:p>
    <w:p>
      <w:pPr>
        <w:ind w:left="0" w:leftChars="0" w:firstLine="0" w:firstLineChars="0"/>
        <w:jc w:val="left"/>
        <w:rPr>
          <w:rFonts w:hint="eastAsia" w:asciiTheme="majorEastAsia" w:hAnsiTheme="majorEastAsia" w:eastAsiaTheme="majorEastAsia" w:cstheme="maj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C9F733"/>
    <w:multiLevelType w:val="multilevel"/>
    <w:tmpl w:val="FFC9F733"/>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1734525A"/>
    <w:multiLevelType w:val="multilevel"/>
    <w:tmpl w:val="1734525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b/>
      </w:rPr>
    </w:lvl>
    <w:lvl w:ilvl="2" w:tentative="0">
      <w:start w:val="1"/>
      <w:numFmt w:val="decimal"/>
      <w:lvlText w:val="%1.%2.%3."/>
      <w:lvlJc w:val="left"/>
      <w:pPr>
        <w:tabs>
          <w:tab w:val="left" w:pos="709"/>
        </w:tabs>
        <w:ind w:left="709" w:hanging="709"/>
      </w:pPr>
      <w:rPr>
        <w:b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EE610FE"/>
    <w:multiLevelType w:val="multilevel"/>
    <w:tmpl w:val="1EE610F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b/>
      </w:rPr>
    </w:lvl>
    <w:lvl w:ilvl="2" w:tentative="0">
      <w:start w:val="1"/>
      <w:numFmt w:val="decimal"/>
      <w:lvlText w:val="%1.%2.%3."/>
      <w:lvlJc w:val="left"/>
      <w:pPr>
        <w:tabs>
          <w:tab w:val="left" w:pos="709"/>
        </w:tabs>
        <w:ind w:left="709" w:hanging="709"/>
      </w:pPr>
      <w:rPr>
        <w:b w:val="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6E6F60E5"/>
    <w:multiLevelType w:val="multilevel"/>
    <w:tmpl w:val="6E6F60E5"/>
    <w:lvl w:ilvl="0" w:tentative="0">
      <w:start w:val="1"/>
      <w:numFmt w:val="chineseCountingThousand"/>
      <w:lvlText w:val="第%1部分"/>
      <w:lvlJc w:val="left"/>
      <w:pPr>
        <w:tabs>
          <w:tab w:val="left" w:pos="1134"/>
        </w:tabs>
        <w:ind w:left="432" w:hanging="432"/>
      </w:pPr>
      <w:rPr>
        <w:rFonts w:hint="eastAsia"/>
      </w:rPr>
    </w:lvl>
    <w:lvl w:ilvl="1" w:tentative="0">
      <w:start w:val="1"/>
      <w:numFmt w:val="chineseCountingThousand"/>
      <w:lvlText w:val="%2、"/>
      <w:lvlJc w:val="left"/>
      <w:pPr>
        <w:ind w:left="576" w:hanging="576"/>
      </w:pPr>
      <w:rPr>
        <w:rFonts w:hint="eastAsia"/>
        <w:lang w:val="en-US" w:eastAsia="zh-CN"/>
      </w:rPr>
    </w:lvl>
    <w:lvl w:ilvl="2" w:tentative="0">
      <w:start w:val="1"/>
      <w:numFmt w:val="chineseCountingThousand"/>
      <w:pStyle w:val="26"/>
      <w:lvlText w:val="（%3）"/>
      <w:lvlJc w:val="left"/>
      <w:pPr>
        <w:ind w:left="737" w:hanging="737"/>
      </w:pPr>
      <w:rPr>
        <w:rFonts w:hint="eastAsia" w:ascii="Arial" w:hAnsi="Arial" w:eastAsia="黑体"/>
        <w:b/>
        <w:i w:val="0"/>
        <w:lang w:val="en-US"/>
      </w:rPr>
    </w:lvl>
    <w:lvl w:ilvl="3" w:tentative="0">
      <w:start w:val="1"/>
      <w:numFmt w:val="decimal"/>
      <w:isLgl/>
      <w:lvlText w:val="%4、"/>
      <w:lvlJc w:val="left"/>
      <w:pPr>
        <w:ind w:left="0" w:firstLine="0"/>
      </w:pPr>
      <w:rPr>
        <w:rFonts w:hint="eastAsia"/>
      </w:rPr>
    </w:lvl>
    <w:lvl w:ilvl="4" w:tentative="0">
      <w:start w:val="1"/>
      <w:numFmt w:val="decimal"/>
      <w:isLgl/>
      <w:lvlText w:val="%2.%3.%4.%5"/>
      <w:lvlJc w:val="left"/>
      <w:pPr>
        <w:ind w:left="1008" w:hanging="1008"/>
      </w:pPr>
      <w:rPr>
        <w:rFonts w:hint="eastAsia"/>
        <w:sz w:val="28"/>
        <w:szCs w:val="28"/>
        <w:lang w:val="en-US"/>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MjEzMzAwZDFjZmI0ODQ2NjQyYmRkOTg3NmYzNTUifQ=="/>
  </w:docVars>
  <w:rsids>
    <w:rsidRoot w:val="32C81FFC"/>
    <w:rsid w:val="00482560"/>
    <w:rsid w:val="09836D80"/>
    <w:rsid w:val="0AC45233"/>
    <w:rsid w:val="0C2C176C"/>
    <w:rsid w:val="11F86446"/>
    <w:rsid w:val="12B26415"/>
    <w:rsid w:val="14EC1B96"/>
    <w:rsid w:val="16083633"/>
    <w:rsid w:val="16E52F75"/>
    <w:rsid w:val="17693AA9"/>
    <w:rsid w:val="178C70F2"/>
    <w:rsid w:val="178F420A"/>
    <w:rsid w:val="17A50B4E"/>
    <w:rsid w:val="19054272"/>
    <w:rsid w:val="1BB06804"/>
    <w:rsid w:val="1C0777A4"/>
    <w:rsid w:val="23DD14F4"/>
    <w:rsid w:val="24FF0566"/>
    <w:rsid w:val="2A387AE4"/>
    <w:rsid w:val="2BA16AE0"/>
    <w:rsid w:val="2C6B78F1"/>
    <w:rsid w:val="2D326DDC"/>
    <w:rsid w:val="2E183A38"/>
    <w:rsid w:val="30264621"/>
    <w:rsid w:val="30C94A55"/>
    <w:rsid w:val="31607BB2"/>
    <w:rsid w:val="32303842"/>
    <w:rsid w:val="32C81FFC"/>
    <w:rsid w:val="32CD618F"/>
    <w:rsid w:val="36C2372E"/>
    <w:rsid w:val="3A403EB7"/>
    <w:rsid w:val="3CB04CF9"/>
    <w:rsid w:val="42D6009F"/>
    <w:rsid w:val="477E5CB2"/>
    <w:rsid w:val="485A5A6C"/>
    <w:rsid w:val="485B7F08"/>
    <w:rsid w:val="48954A98"/>
    <w:rsid w:val="4EAE18D3"/>
    <w:rsid w:val="4FCB75BA"/>
    <w:rsid w:val="52920247"/>
    <w:rsid w:val="578B469D"/>
    <w:rsid w:val="57900F5F"/>
    <w:rsid w:val="5A297487"/>
    <w:rsid w:val="5AD34610"/>
    <w:rsid w:val="5F4675AE"/>
    <w:rsid w:val="60EC75B3"/>
    <w:rsid w:val="61293E2B"/>
    <w:rsid w:val="63893958"/>
    <w:rsid w:val="65E528E2"/>
    <w:rsid w:val="669714EC"/>
    <w:rsid w:val="67390838"/>
    <w:rsid w:val="68690437"/>
    <w:rsid w:val="68EC49A5"/>
    <w:rsid w:val="6A0B14D9"/>
    <w:rsid w:val="6BC20D4E"/>
    <w:rsid w:val="6BED023E"/>
    <w:rsid w:val="72AA090C"/>
    <w:rsid w:val="73490C6E"/>
    <w:rsid w:val="773134EC"/>
    <w:rsid w:val="79055C6B"/>
    <w:rsid w:val="798D3E2D"/>
    <w:rsid w:val="7CB819D6"/>
    <w:rsid w:val="7D3F6D4A"/>
    <w:rsid w:val="7EED4163"/>
    <w:rsid w:val="7F0F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仿宋" w:cstheme="minorBidi"/>
      <w:kern w:val="2"/>
      <w:sz w:val="28"/>
      <w:szCs w:val="24"/>
      <w:lang w:val="en-US" w:eastAsia="zh-CN" w:bidi="ar-SA"/>
    </w:rPr>
  </w:style>
  <w:style w:type="paragraph" w:styleId="3">
    <w:name w:val="heading 1"/>
    <w:basedOn w:val="1"/>
    <w:next w:val="1"/>
    <w:link w:val="21"/>
    <w:qFormat/>
    <w:uiPriority w:val="0"/>
    <w:pPr>
      <w:keepNext/>
      <w:keepLines/>
      <w:numPr>
        <w:ilvl w:val="0"/>
        <w:numId w:val="1"/>
      </w:numPr>
      <w:tabs>
        <w:tab w:val="left" w:pos="0"/>
      </w:tabs>
      <w:snapToGrid w:val="0"/>
      <w:spacing w:beforeLines="0" w:beforeAutospacing="0" w:afterLines="0" w:afterAutospacing="0" w:line="360" w:lineRule="auto"/>
      <w:ind w:left="432" w:hanging="432" w:firstLineChars="0"/>
      <w:jc w:val="center"/>
      <w:outlineLvl w:val="0"/>
    </w:pPr>
    <w:rPr>
      <w:rFonts w:ascii="Times New Roman" w:hAnsi="Times New Roman" w:eastAsia="微软雅黑"/>
      <w:b/>
      <w:kern w:val="44"/>
      <w:sz w:val="32"/>
      <w:szCs w:val="22"/>
      <w:lang w:bidi="en-US"/>
    </w:rPr>
  </w:style>
  <w:style w:type="paragraph" w:styleId="4">
    <w:name w:val="heading 2"/>
    <w:basedOn w:val="1"/>
    <w:next w:val="1"/>
    <w:link w:val="20"/>
    <w:semiHidden/>
    <w:unhideWhenUsed/>
    <w:qFormat/>
    <w:uiPriority w:val="0"/>
    <w:pPr>
      <w:keepNext/>
      <w:keepLines/>
      <w:numPr>
        <w:ilvl w:val="1"/>
        <w:numId w:val="1"/>
      </w:numPr>
      <w:adjustRightInd w:val="0"/>
      <w:snapToGrid w:val="0"/>
      <w:spacing w:line="360" w:lineRule="auto"/>
      <w:ind w:left="575" w:hanging="575" w:firstLineChars="0"/>
      <w:jc w:val="left"/>
      <w:textAlignment w:val="baseline"/>
      <w:outlineLvl w:val="1"/>
    </w:pPr>
    <w:rPr>
      <w:rFonts w:ascii="Arial" w:hAnsi="Arial" w:eastAsia="微软雅黑" w:cs="仿宋"/>
      <w:b/>
      <w:bCs/>
      <w:kern w:val="0"/>
      <w:sz w:val="30"/>
      <w:szCs w:val="32"/>
    </w:rPr>
  </w:style>
  <w:style w:type="paragraph" w:styleId="5">
    <w:name w:val="heading 3"/>
    <w:basedOn w:val="1"/>
    <w:next w:val="1"/>
    <w:link w:val="22"/>
    <w:semiHidden/>
    <w:unhideWhenUsed/>
    <w:qFormat/>
    <w:uiPriority w:val="0"/>
    <w:pPr>
      <w:keepNext/>
      <w:numPr>
        <w:ilvl w:val="2"/>
        <w:numId w:val="1"/>
      </w:numPr>
      <w:tabs>
        <w:tab w:val="left" w:pos="0"/>
      </w:tabs>
      <w:snapToGrid w:val="0"/>
      <w:spacing w:beforeAutospacing="0" w:afterAutospacing="0" w:line="360" w:lineRule="auto"/>
      <w:ind w:left="0" w:firstLine="0" w:firstLineChars="0"/>
      <w:outlineLvl w:val="2"/>
    </w:pPr>
    <w:rPr>
      <w:rFonts w:ascii="Times New Roman" w:hAnsi="Times New Roman" w:eastAsia="微软雅黑" w:cs="Arial"/>
      <w:b/>
      <w:bCs/>
      <w:sz w:val="28"/>
      <w:szCs w:val="26"/>
    </w:rPr>
  </w:style>
  <w:style w:type="paragraph" w:styleId="6">
    <w:name w:val="heading 4"/>
    <w:basedOn w:val="1"/>
    <w:next w:val="1"/>
    <w:link w:val="23"/>
    <w:semiHidden/>
    <w:unhideWhenUsed/>
    <w:qFormat/>
    <w:uiPriority w:val="0"/>
    <w:pPr>
      <w:keepNext/>
      <w:keepLines/>
      <w:numPr>
        <w:ilvl w:val="3"/>
        <w:numId w:val="1"/>
      </w:numPr>
      <w:tabs>
        <w:tab w:val="left" w:pos="0"/>
      </w:tabs>
      <w:snapToGrid w:val="0"/>
      <w:spacing w:beforeLines="0" w:beforeAutospacing="0" w:afterLines="0" w:afterAutospacing="0" w:line="360" w:lineRule="auto"/>
      <w:ind w:left="864" w:hanging="864" w:firstLineChars="0"/>
      <w:outlineLvl w:val="3"/>
    </w:pPr>
    <w:rPr>
      <w:rFonts w:ascii="Arial" w:hAnsi="Arial" w:eastAsia="微软雅黑"/>
      <w:b/>
      <w:sz w:val="28"/>
    </w:rPr>
  </w:style>
  <w:style w:type="paragraph" w:styleId="7">
    <w:name w:val="heading 5"/>
    <w:basedOn w:val="1"/>
    <w:next w:val="1"/>
    <w:semiHidden/>
    <w:unhideWhenUsed/>
    <w:qFormat/>
    <w:uiPriority w:val="0"/>
    <w:pPr>
      <w:keepNext/>
      <w:keepLines/>
      <w:numPr>
        <w:ilvl w:val="4"/>
        <w:numId w:val="1"/>
      </w:numPr>
      <w:tabs>
        <w:tab w:val="left" w:pos="0"/>
      </w:tabs>
      <w:snapToGrid w:val="0"/>
      <w:spacing w:beforeLines="0" w:beforeAutospacing="0" w:afterLines="0" w:afterAutospacing="0" w:line="360" w:lineRule="auto"/>
      <w:ind w:left="1008" w:hanging="1008"/>
      <w:outlineLvl w:val="4"/>
    </w:pPr>
    <w:rPr>
      <w:rFonts w:ascii="Times New Roman" w:hAnsi="Times New Roman"/>
      <w:b/>
      <w:sz w:val="28"/>
    </w:rPr>
  </w:style>
  <w:style w:type="paragraph" w:styleId="8">
    <w:name w:val="heading 6"/>
    <w:basedOn w:val="1"/>
    <w:next w:val="1"/>
    <w:semiHidden/>
    <w:unhideWhenUsed/>
    <w:qFormat/>
    <w:uiPriority w:val="0"/>
    <w:pPr>
      <w:keepNext/>
      <w:keepLines/>
      <w:numPr>
        <w:ilvl w:val="5"/>
        <w:numId w:val="1"/>
      </w:numPr>
      <w:tabs>
        <w:tab w:val="left" w:pos="420"/>
      </w:tabs>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tabs>
        <w:tab w:val="left" w:pos="420"/>
      </w:tabs>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9">
    <w:name w:val="Default Paragraph Font"/>
    <w:unhideWhenUsed/>
    <w:qFormat/>
    <w:uiPriority w:val="1"/>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12">
    <w:name w:val="Normal Indent"/>
    <w:basedOn w:val="1"/>
    <w:qFormat/>
    <w:uiPriority w:val="0"/>
    <w:pPr>
      <w:ind w:firstLine="420" w:firstLineChars="200"/>
    </w:pPr>
  </w:style>
  <w:style w:type="paragraph" w:styleId="13">
    <w:name w:val="Body Text Indent"/>
    <w:basedOn w:val="1"/>
    <w:qFormat/>
    <w:uiPriority w:val="0"/>
    <w:pPr>
      <w:spacing w:after="120" w:afterLines="0" w:afterAutospacing="0"/>
      <w:ind w:left="420" w:leftChars="200"/>
    </w:p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qFormat/>
    <w:uiPriority w:val="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17">
    <w:name w:val="Body Text First Indent 2"/>
    <w:basedOn w:val="13"/>
    <w:qFormat/>
    <w:uiPriority w:val="0"/>
    <w:pPr>
      <w:ind w:firstLine="420" w:firstLineChars="200"/>
    </w:pPr>
  </w:style>
  <w:style w:type="character" w:customStyle="1" w:styleId="20">
    <w:name w:val="标题 2 Char"/>
    <w:basedOn w:val="19"/>
    <w:link w:val="4"/>
    <w:qFormat/>
    <w:uiPriority w:val="0"/>
    <w:rPr>
      <w:rFonts w:ascii="Arial" w:hAnsi="Arial" w:eastAsia="微软雅黑" w:cs="仿宋"/>
      <w:b/>
      <w:bCs/>
      <w:sz w:val="30"/>
      <w:szCs w:val="32"/>
    </w:rPr>
  </w:style>
  <w:style w:type="character" w:customStyle="1" w:styleId="21">
    <w:name w:val="标题 1 Char"/>
    <w:link w:val="3"/>
    <w:qFormat/>
    <w:uiPriority w:val="0"/>
    <w:rPr>
      <w:rFonts w:ascii="Times New Roman" w:hAnsi="Times New Roman" w:eastAsia="微软雅黑" w:cs="Times New Roman"/>
      <w:b/>
      <w:kern w:val="44"/>
      <w:sz w:val="32"/>
      <w:szCs w:val="22"/>
      <w:lang w:bidi="en-US"/>
    </w:rPr>
  </w:style>
  <w:style w:type="character" w:customStyle="1" w:styleId="22">
    <w:name w:val="标题 3 Char"/>
    <w:basedOn w:val="19"/>
    <w:link w:val="5"/>
    <w:qFormat/>
    <w:uiPriority w:val="0"/>
    <w:rPr>
      <w:rFonts w:ascii="Times New Roman" w:hAnsi="Times New Roman" w:eastAsia="微软雅黑" w:cs="Times New Roman"/>
      <w:b/>
      <w:sz w:val="28"/>
      <w:szCs w:val="21"/>
    </w:rPr>
  </w:style>
  <w:style w:type="character" w:customStyle="1" w:styleId="23">
    <w:name w:val="标题 4 Char"/>
    <w:basedOn w:val="19"/>
    <w:link w:val="6"/>
    <w:qFormat/>
    <w:uiPriority w:val="9"/>
    <w:rPr>
      <w:rFonts w:ascii="Arial" w:hAnsi="Arial" w:eastAsia="微软雅黑"/>
      <w:b/>
      <w:sz w:val="28"/>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5">
    <w:name w:val="List Paragraph"/>
    <w:basedOn w:val="1"/>
    <w:qFormat/>
    <w:uiPriority w:val="0"/>
    <w:pPr>
      <w:ind w:firstLine="420" w:firstLineChars="200"/>
    </w:pPr>
  </w:style>
  <w:style w:type="paragraph" w:customStyle="1" w:styleId="26">
    <w:name w:val="标题 3_0"/>
    <w:basedOn w:val="27"/>
    <w:next w:val="27"/>
    <w:qFormat/>
    <w:uiPriority w:val="0"/>
    <w:pPr>
      <w:keepNext/>
      <w:keepLines/>
      <w:numPr>
        <w:ilvl w:val="2"/>
        <w:numId w:val="2"/>
      </w:numPr>
      <w:spacing w:before="260" w:after="260"/>
      <w:outlineLvl w:val="2"/>
    </w:pPr>
    <w:rPr>
      <w:rFonts w:ascii="Times New Roman" w:hAnsi="Times New Roman" w:eastAsia="黑体" w:cs="Times New Roman"/>
      <w:b/>
      <w:kern w:val="0"/>
      <w:sz w:val="26"/>
      <w:szCs w:val="24"/>
    </w:rPr>
  </w:style>
  <w:style w:type="paragraph" w:customStyle="1" w:styleId="27">
    <w:name w:val="正文_0"/>
    <w:qFormat/>
    <w:uiPriority w:val="0"/>
    <w:pPr>
      <w:widowControl w:val="0"/>
      <w:spacing w:line="360" w:lineRule="auto"/>
      <w:ind w:firstLine="418"/>
      <w:jc w:val="both"/>
    </w:pPr>
    <w:rPr>
      <w:rFonts w:ascii="仿宋" w:hAnsi="仿宋" w:eastAsia="仿宋" w:cs="黑体"/>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2502</Words>
  <Characters>2556</Characters>
  <Lines>0</Lines>
  <Paragraphs>0</Paragraphs>
  <TotalTime>1</TotalTime>
  <ScaleCrop>false</ScaleCrop>
  <LinksUpToDate>false</LinksUpToDate>
  <CharactersWithSpaces>2563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2022-10-13T03:25:00Z</dcterms:created>
  <dc:creator>梵我一如</dc:creator>
  <cp:lastModifiedBy>杨晓波</cp:lastModifiedBy>
  <dcterms:modified xsi:type="dcterms:W3CDTF">2022-10-26T07:43:31Z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3EB93576BFA24674B5D980DBB93D3110</vt:lpwstr>
  </property>
</Properties>
</file>