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center"/>
        <w:rPr>
          <w:rFonts w:hint="eastAsia"/>
          <w:lang w:eastAsia="zh-CN"/>
        </w:rPr>
      </w:pPr>
      <w:bookmarkStart w:id="0" w:name="_Toc499035956"/>
      <w:bookmarkStart w:id="1" w:name="_Toc75917307"/>
      <w:bookmarkStart w:id="2" w:name="_Toc46738290"/>
      <w:bookmarkStart w:id="3" w:name="_Toc46738417"/>
      <w:bookmarkStart w:id="4" w:name="_Toc12118373"/>
      <w:bookmarkStart w:id="5" w:name="_Toc46738156"/>
      <w:r>
        <w:t>评标</w:t>
      </w:r>
      <w:bookmarkEnd w:id="0"/>
      <w:bookmarkEnd w:id="1"/>
      <w:bookmarkEnd w:id="2"/>
      <w:bookmarkEnd w:id="3"/>
      <w:bookmarkEnd w:id="4"/>
      <w:bookmarkEnd w:id="5"/>
      <w:r>
        <w:rPr>
          <w:rFonts w:hint="eastAsia"/>
          <w:lang w:eastAsia="zh-CN"/>
        </w:rPr>
        <w:t>细则</w:t>
      </w:r>
    </w:p>
    <w:p>
      <w:pPr>
        <w:widowControl/>
        <w:spacing w:line="360" w:lineRule="auto"/>
        <w:ind w:left="1"/>
        <w:jc w:val="both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一、</w:t>
      </w:r>
      <w:r>
        <w:rPr>
          <w:rFonts w:hint="eastAsia" w:ascii="宋体" w:hAnsi="宋体"/>
          <w:b/>
          <w:sz w:val="24"/>
          <w:szCs w:val="24"/>
        </w:rPr>
        <w:t>符合性审查</w:t>
      </w:r>
    </w:p>
    <w:tbl>
      <w:tblPr>
        <w:tblStyle w:val="5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7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审查类别</w:t>
            </w:r>
          </w:p>
        </w:tc>
        <w:tc>
          <w:tcPr>
            <w:tcW w:w="756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b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sz w:val="24"/>
                <w:szCs w:val="24"/>
              </w:rPr>
              <w:t>审查内容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hint="eastAsia" w:ascii="宋体" w:hAnsi="宋体" w:cs="Arial"/>
                <w:sz w:val="24"/>
                <w:szCs w:val="24"/>
              </w:rPr>
              <w:t>最终符合性审查</w:t>
            </w:r>
          </w:p>
        </w:tc>
        <w:tc>
          <w:tcPr>
            <w:tcW w:w="7561" w:type="dxa"/>
          </w:tcPr>
          <w:p>
            <w:pPr>
              <w:spacing w:line="360" w:lineRule="auto"/>
              <w:jc w:val="center"/>
              <w:rPr>
                <w:rFonts w:hint="default" w:ascii="宋体" w:hAnsi="宋体" w:cs="Arial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最后报价确定且</w:t>
            </w:r>
            <w:r>
              <w:rPr>
                <w:rFonts w:hint="eastAsia" w:ascii="宋体" w:hAnsi="宋体" w:cs="Arial"/>
                <w:sz w:val="24"/>
                <w:szCs w:val="24"/>
              </w:rPr>
              <w:t>不高于最高限价</w:t>
            </w:r>
            <w:r>
              <w:rPr>
                <w:rFonts w:hint="eastAsia" w:ascii="宋体" w:hAnsi="宋体"/>
                <w:sz w:val="24"/>
                <w:szCs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7561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有盖章、签署要求的带★格式文件已按要求盖章、签署。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7561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响应文件完全满足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招标</w:t>
            </w:r>
            <w:r>
              <w:rPr>
                <w:rFonts w:hint="eastAsia" w:ascii="宋体" w:hAnsi="宋体"/>
                <w:sz w:val="24"/>
                <w:szCs w:val="24"/>
              </w:rPr>
              <w:t>文件中带★号的条款和指标(审查《实质性响应条款一览表》)。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6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</w:p>
        </w:tc>
        <w:tc>
          <w:tcPr>
            <w:tcW w:w="7561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未发现属无效响应的其他情形（见表末说明）。</w:t>
            </w:r>
          </w:p>
        </w:tc>
      </w:tr>
    </w:tbl>
    <w:p>
      <w:pPr>
        <w:widowControl/>
        <w:spacing w:line="360" w:lineRule="auto"/>
        <w:ind w:left="425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说明：以下为属无效响应的其他情形。</w:t>
      </w:r>
    </w:p>
    <w:p>
      <w:pPr>
        <w:tabs>
          <w:tab w:val="left" w:pos="0"/>
        </w:tabs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供应商对采购人、</w:t>
      </w:r>
      <w:r>
        <w:rPr>
          <w:rFonts w:hint="eastAsia" w:ascii="宋体" w:hAnsi="宋体"/>
          <w:sz w:val="24"/>
          <w:szCs w:val="24"/>
          <w:lang w:eastAsia="zh-CN"/>
        </w:rPr>
        <w:t>评审</w:t>
      </w:r>
      <w:r>
        <w:rPr>
          <w:rFonts w:hint="eastAsia" w:ascii="宋体" w:hAnsi="宋体" w:cs="Arial"/>
          <w:sz w:val="24"/>
          <w:szCs w:val="24"/>
          <w:lang w:eastAsia="zh-CN"/>
        </w:rPr>
        <w:t>委员会</w:t>
      </w:r>
      <w:r>
        <w:rPr>
          <w:rFonts w:hint="eastAsia" w:ascii="宋体" w:hAnsi="宋体"/>
          <w:sz w:val="24"/>
          <w:szCs w:val="24"/>
        </w:rPr>
        <w:t>及其工作人员施加影响，有碍政府采购公平、公正的。</w:t>
      </w:r>
    </w:p>
    <w:p>
      <w:pPr>
        <w:pStyle w:val="8"/>
        <w:numPr>
          <w:ilvl w:val="0"/>
          <w:numId w:val="0"/>
        </w:numPr>
        <w:tabs>
          <w:tab w:val="left" w:pos="0"/>
        </w:tabs>
        <w:spacing w:line="360" w:lineRule="auto"/>
        <w:ind w:left="479" w:left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  <w:lang w:eastAsia="zh-CN"/>
        </w:rPr>
        <w:t>）</w:t>
      </w:r>
      <w:r>
        <w:rPr>
          <w:rFonts w:hint="eastAsia" w:ascii="宋体" w:hAnsi="宋体"/>
          <w:sz w:val="24"/>
          <w:szCs w:val="24"/>
        </w:rPr>
        <w:t>法律、法规和</w:t>
      </w:r>
      <w:r>
        <w:rPr>
          <w:rFonts w:hint="eastAsia" w:ascii="宋体" w:hAnsi="宋体"/>
          <w:sz w:val="24"/>
          <w:szCs w:val="24"/>
          <w:lang w:eastAsia="zh-CN"/>
        </w:rPr>
        <w:t>招标</w:t>
      </w:r>
      <w:r>
        <w:rPr>
          <w:rFonts w:hint="eastAsia" w:ascii="宋体" w:hAnsi="宋体"/>
          <w:sz w:val="24"/>
          <w:szCs w:val="24"/>
        </w:rPr>
        <w:t>文件规定的其他无效情形。</w:t>
      </w:r>
    </w:p>
    <w:p>
      <w:pPr>
        <w:widowControl/>
        <w:numPr>
          <w:ilvl w:val="0"/>
          <w:numId w:val="2"/>
        </w:numPr>
        <w:spacing w:line="360" w:lineRule="auto"/>
        <w:ind w:left="0" w:firstLine="566" w:firstLineChars="236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评审</w:t>
      </w:r>
      <w:r>
        <w:rPr>
          <w:rFonts w:hint="eastAsia" w:ascii="宋体" w:hAnsi="宋体" w:cs="Arial"/>
          <w:sz w:val="24"/>
          <w:szCs w:val="24"/>
          <w:lang w:eastAsia="zh-CN"/>
        </w:rPr>
        <w:t>委员会</w:t>
      </w:r>
      <w:r>
        <w:rPr>
          <w:rFonts w:hint="eastAsia" w:ascii="宋体" w:hAnsi="宋体"/>
          <w:sz w:val="24"/>
          <w:szCs w:val="24"/>
        </w:rPr>
        <w:t>认为，供应商的最后报价明显不合理或者明显低于其他供应商报价，有可能影响商品质量和不能诚信履约的，应当要求该供应商作出书面说明并提供相关证明材料。供应商不能合理说明或者不能提供相关证明材料的，由</w:t>
      </w:r>
      <w:r>
        <w:rPr>
          <w:rFonts w:hint="eastAsia" w:ascii="宋体" w:hAnsi="宋体"/>
          <w:sz w:val="24"/>
          <w:szCs w:val="24"/>
          <w:lang w:eastAsia="zh-CN"/>
        </w:rPr>
        <w:t>评审委员会</w:t>
      </w:r>
      <w:r>
        <w:rPr>
          <w:rFonts w:hint="eastAsia" w:ascii="宋体" w:hAnsi="宋体"/>
          <w:sz w:val="24"/>
          <w:szCs w:val="24"/>
        </w:rPr>
        <w:t>认定该供应商为低于成本报价，响应无效。</w:t>
      </w:r>
    </w:p>
    <w:p>
      <w:pPr>
        <w:widowControl/>
        <w:numPr>
          <w:ilvl w:val="0"/>
          <w:numId w:val="2"/>
        </w:numPr>
        <w:spacing w:line="360" w:lineRule="auto"/>
        <w:ind w:left="0" w:firstLine="566" w:firstLineChars="236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对不通过符合性审查的供应商，</w:t>
      </w:r>
      <w:r>
        <w:rPr>
          <w:rFonts w:hint="eastAsia" w:ascii="宋体" w:hAnsi="宋体"/>
          <w:sz w:val="24"/>
          <w:szCs w:val="24"/>
          <w:lang w:eastAsia="zh-CN"/>
        </w:rPr>
        <w:t>评审</w:t>
      </w:r>
      <w:r>
        <w:rPr>
          <w:rFonts w:hint="eastAsia" w:ascii="宋体" w:hAnsi="宋体"/>
          <w:sz w:val="24"/>
          <w:szCs w:val="21"/>
          <w:lang w:eastAsia="zh-CN"/>
        </w:rPr>
        <w:t>委员会</w:t>
      </w:r>
      <w:r>
        <w:rPr>
          <w:rFonts w:hint="eastAsia" w:ascii="宋体" w:hAnsi="宋体"/>
          <w:sz w:val="24"/>
          <w:szCs w:val="21"/>
        </w:rPr>
        <w:t>应</w:t>
      </w:r>
      <w:r>
        <w:rPr>
          <w:rFonts w:hint="eastAsia" w:ascii="宋体" w:hAnsi="宋体"/>
          <w:sz w:val="24"/>
          <w:szCs w:val="24"/>
        </w:rPr>
        <w:t>告知该供应商并说明理由。</w:t>
      </w:r>
    </w:p>
    <w:p>
      <w:pPr>
        <w:widowControl/>
        <w:numPr>
          <w:ilvl w:val="0"/>
          <w:numId w:val="2"/>
        </w:numPr>
        <w:spacing w:line="360" w:lineRule="auto"/>
        <w:ind w:left="0" w:firstLine="566" w:firstLineChars="236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通过资格性和符合性审查的有效供应商方可进入综合评分阶段。如通过符合性审查少于3家时，</w:t>
      </w:r>
      <w:r>
        <w:rPr>
          <w:rFonts w:hint="eastAsia" w:ascii="宋体" w:hAnsi="宋体"/>
          <w:sz w:val="24"/>
          <w:szCs w:val="24"/>
          <w:lang w:eastAsia="zh-CN"/>
        </w:rPr>
        <w:t>评审</w:t>
      </w:r>
      <w:r>
        <w:rPr>
          <w:rFonts w:hint="eastAsia" w:ascii="宋体" w:hAnsi="宋体" w:cs="Arial"/>
          <w:sz w:val="24"/>
          <w:szCs w:val="24"/>
          <w:lang w:eastAsia="zh-CN"/>
        </w:rPr>
        <w:t>委员会</w:t>
      </w:r>
      <w:r>
        <w:rPr>
          <w:rFonts w:hint="eastAsia" w:ascii="宋体" w:hAnsi="宋体"/>
          <w:sz w:val="24"/>
          <w:szCs w:val="24"/>
        </w:rPr>
        <w:t>宣布项目采购失败。</w:t>
      </w:r>
    </w:p>
    <w:p>
      <w:pPr>
        <w:pStyle w:val="4"/>
        <w:ind w:left="0" w:leftChars="0" w:firstLine="0" w:firstLineChars="0"/>
        <w:jc w:val="center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tabs>
          <w:tab w:val="left" w:pos="927"/>
        </w:tabs>
        <w:spacing w:line="360" w:lineRule="auto"/>
        <w:rPr>
          <w:rFonts w:hint="eastAsia"/>
          <w:b/>
          <w:sz w:val="24"/>
          <w:szCs w:val="21"/>
          <w:lang w:eastAsia="zh-CN"/>
        </w:rPr>
      </w:pPr>
      <w:r>
        <w:rPr>
          <w:rFonts w:hint="eastAsia"/>
          <w:b/>
          <w:sz w:val="24"/>
          <w:szCs w:val="21"/>
          <w:lang w:eastAsia="zh-CN"/>
        </w:rPr>
        <w:t>综合评分</w:t>
      </w:r>
    </w:p>
    <w:p>
      <w:pPr>
        <w:numPr>
          <w:ilvl w:val="0"/>
          <w:numId w:val="0"/>
        </w:numPr>
        <w:tabs>
          <w:tab w:val="left" w:pos="927"/>
        </w:tabs>
        <w:spacing w:line="360" w:lineRule="auto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本项目采用综合评分法</w:t>
      </w:r>
    </w:p>
    <w:p>
      <w:pPr>
        <w:tabs>
          <w:tab w:val="left" w:pos="927"/>
        </w:tabs>
        <w:spacing w:line="360" w:lineRule="auto"/>
        <w:rPr>
          <w:sz w:val="24"/>
          <w:szCs w:val="21"/>
        </w:rPr>
      </w:pPr>
      <w:r>
        <w:rPr>
          <w:b/>
          <w:sz w:val="24"/>
          <w:szCs w:val="21"/>
        </w:rPr>
        <w:t>中标依据</w:t>
      </w:r>
      <w:r>
        <w:rPr>
          <w:sz w:val="24"/>
          <w:szCs w:val="21"/>
        </w:rPr>
        <w:t>：在不高于最高限价的前提下，综合评估分最高的为中标候选人。</w:t>
      </w:r>
    </w:p>
    <w:p>
      <w:pPr>
        <w:spacing w:line="360" w:lineRule="auto"/>
        <w:rPr>
          <w:b/>
          <w:sz w:val="24"/>
          <w:szCs w:val="21"/>
          <w:lang w:val="zh-CN"/>
        </w:rPr>
      </w:pPr>
      <w:r>
        <w:rPr>
          <w:b/>
          <w:sz w:val="24"/>
          <w:szCs w:val="21"/>
          <w:lang w:val="zh-CN"/>
        </w:rPr>
        <w:t>综合评估分的计算和排序</w:t>
      </w:r>
    </w:p>
    <w:p>
      <w:pPr>
        <w:spacing w:line="360" w:lineRule="auto"/>
        <w:ind w:left="709"/>
        <w:rPr>
          <w:b/>
          <w:bCs/>
          <w:sz w:val="24"/>
          <w:szCs w:val="21"/>
        </w:rPr>
      </w:pPr>
      <w:r>
        <w:rPr>
          <w:sz w:val="24"/>
          <w:szCs w:val="21"/>
        </w:rPr>
        <w:t>综合评估分中各评估因素所占权重（见下表）</w:t>
      </w:r>
      <w:bookmarkStart w:id="6" w:name="SubDocScoreRule"/>
    </w:p>
    <w:tbl>
      <w:tblPr>
        <w:tblStyle w:val="5"/>
        <w:tblW w:w="96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2421"/>
        <w:gridCol w:w="2421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评估因素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价格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技术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1"/>
              </w:rPr>
            </w:pPr>
            <w:r>
              <w:rPr>
                <w:b/>
                <w:bCs/>
                <w:sz w:val="24"/>
                <w:szCs w:val="21"/>
              </w:rPr>
              <w:t>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2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bCs/>
                <w:sz w:val="24"/>
                <w:szCs w:val="21"/>
              </w:rPr>
            </w:pPr>
            <w:r>
              <w:rPr>
                <w:bCs/>
                <w:sz w:val="24"/>
                <w:szCs w:val="21"/>
              </w:rPr>
              <w:t>评估权重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  <w:szCs w:val="21"/>
              </w:rPr>
            </w:pPr>
            <w:r>
              <w:rPr>
                <w:rFonts w:hint="eastAsia"/>
                <w:bCs/>
                <w:sz w:val="24"/>
                <w:szCs w:val="21"/>
              </w:rPr>
              <w:t>10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1"/>
                <w:lang w:val="en-US" w:eastAsia="zh-CN"/>
              </w:rPr>
              <w:t>60</w:t>
            </w:r>
          </w:p>
        </w:tc>
        <w:tc>
          <w:tcPr>
            <w:tcW w:w="2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bCs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1"/>
                <w:lang w:val="en-US" w:eastAsia="zh-CN"/>
              </w:rPr>
              <w:t>30</w:t>
            </w:r>
          </w:p>
        </w:tc>
      </w:tr>
      <w:bookmarkEnd w:id="6"/>
    </w:tbl>
    <w:p>
      <w:pPr>
        <w:pStyle w:val="8"/>
        <w:numPr>
          <w:ilvl w:val="0"/>
          <w:numId w:val="4"/>
        </w:numPr>
        <w:spacing w:line="360" w:lineRule="auto"/>
        <w:ind w:firstLineChars="0"/>
        <w:rPr>
          <w:sz w:val="24"/>
          <w:szCs w:val="21"/>
        </w:rPr>
      </w:pPr>
      <w:r>
        <w:rPr>
          <w:sz w:val="24"/>
          <w:szCs w:val="21"/>
        </w:rPr>
        <w:t>综合评估分</w:t>
      </w:r>
      <w:bookmarkStart w:id="7" w:name="CompositeScoreDesc"/>
      <w:r>
        <w:rPr>
          <w:sz w:val="24"/>
          <w:szCs w:val="21"/>
        </w:rPr>
        <w:t>（精确到小数点后两位）=技术得分+商务得分+价格得分；</w:t>
      </w:r>
      <w:bookmarkEnd w:id="7"/>
    </w:p>
    <w:p>
      <w:pPr>
        <w:pStyle w:val="8"/>
        <w:numPr>
          <w:ilvl w:val="0"/>
          <w:numId w:val="4"/>
        </w:numPr>
        <w:spacing w:line="360" w:lineRule="auto"/>
        <w:ind w:firstLineChars="0"/>
        <w:rPr>
          <w:sz w:val="24"/>
          <w:szCs w:val="21"/>
        </w:rPr>
      </w:pPr>
      <w:r>
        <w:rPr>
          <w:sz w:val="24"/>
          <w:szCs w:val="21"/>
        </w:rPr>
        <w:t>将综合评估分从高到低排序，得分相同的，按投标报价由低到高顺序排列。得分且投标报价相同的，按技术得分高低顺序排列；</w:t>
      </w:r>
    </w:p>
    <w:p>
      <w:pPr>
        <w:pStyle w:val="10"/>
        <w:ind w:left="0" w:firstLine="0"/>
        <w:rPr>
          <w:rFonts w:ascii="宋体" w:hAnsi="宋体" w:eastAsia="宋体"/>
          <w:sz w:val="24"/>
          <w:szCs w:val="21"/>
        </w:rPr>
      </w:pPr>
      <w:bookmarkStart w:id="8" w:name="_Toc499035957"/>
      <w:bookmarkStart w:id="9" w:name="_Toc488358585"/>
      <w:r>
        <w:rPr>
          <w:rFonts w:ascii="宋体" w:hAnsi="宋体" w:eastAsia="宋体"/>
          <w:sz w:val="24"/>
          <w:szCs w:val="21"/>
        </w:rPr>
        <w:t>价格</w:t>
      </w:r>
      <w:r>
        <w:rPr>
          <w:rFonts w:hint="eastAsia" w:ascii="宋体" w:hAnsi="宋体" w:eastAsia="宋体"/>
          <w:sz w:val="24"/>
          <w:szCs w:val="21"/>
        </w:rPr>
        <w:t>评</w:t>
      </w:r>
      <w:bookmarkEnd w:id="8"/>
      <w:bookmarkEnd w:id="9"/>
      <w:r>
        <w:rPr>
          <w:rFonts w:hint="eastAsia" w:ascii="宋体" w:hAnsi="宋体" w:eastAsia="宋体"/>
          <w:sz w:val="24"/>
          <w:szCs w:val="21"/>
          <w:lang w:eastAsia="zh-CN"/>
        </w:rPr>
        <w:t>分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rPr>
          <w:sz w:val="24"/>
          <w:szCs w:val="21"/>
        </w:rPr>
      </w:pPr>
      <w:r>
        <w:rPr>
          <w:sz w:val="24"/>
          <w:szCs w:val="21"/>
        </w:rPr>
        <w:t>由评标委员会对所有投标文件的价格部分的响应进行审核和分析。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rPr>
          <w:sz w:val="24"/>
          <w:szCs w:val="21"/>
        </w:rPr>
      </w:pPr>
      <w:bookmarkStart w:id="10" w:name="PriceRuleDesc"/>
      <w:bookmarkStart w:id="11" w:name="PriceLastNumber"/>
      <w:r>
        <w:rPr>
          <w:sz w:val="24"/>
          <w:szCs w:val="21"/>
        </w:rPr>
        <w:t>基准价格分：以有效投标人报价中价格最低的投标报价为基准价，定其基准价格分为</w:t>
      </w:r>
      <w:r>
        <w:rPr>
          <w:rFonts w:hint="eastAsia"/>
          <w:sz w:val="24"/>
          <w:szCs w:val="21"/>
        </w:rPr>
        <w:t>10</w:t>
      </w:r>
      <w:r>
        <w:rPr>
          <w:sz w:val="24"/>
          <w:szCs w:val="21"/>
        </w:rPr>
        <w:t>分。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rPr>
          <w:sz w:val="24"/>
          <w:szCs w:val="21"/>
        </w:rPr>
      </w:pPr>
      <w:r>
        <w:rPr>
          <w:sz w:val="24"/>
          <w:szCs w:val="21"/>
        </w:rPr>
        <w:t>投标人的价格得分=（评标基准价 / 投标人报价）×</w:t>
      </w:r>
      <w:r>
        <w:rPr>
          <w:rFonts w:hint="eastAsia"/>
          <w:sz w:val="24"/>
          <w:szCs w:val="21"/>
        </w:rPr>
        <w:t>1</w:t>
      </w:r>
      <w:r>
        <w:rPr>
          <w:sz w:val="24"/>
          <w:szCs w:val="21"/>
        </w:rPr>
        <w:t>0（精确到小数点后两位）分。由此算出每个投标人的“价格得分”。</w:t>
      </w:r>
    </w:p>
    <w:bookmarkEnd w:id="10"/>
    <w:bookmarkEnd w:id="11"/>
    <w:p>
      <w:pPr>
        <w:pStyle w:val="8"/>
        <w:numPr>
          <w:ilvl w:val="0"/>
          <w:numId w:val="5"/>
        </w:numPr>
        <w:spacing w:line="360" w:lineRule="auto"/>
        <w:ind w:firstLineChars="0"/>
        <w:rPr>
          <w:sz w:val="24"/>
          <w:szCs w:val="21"/>
        </w:rPr>
      </w:pPr>
      <w:r>
        <w:rPr>
          <w:sz w:val="24"/>
          <w:szCs w:val="21"/>
        </w:rPr>
        <w:t>评委检查每个投标人的价格评分计算情况，确认“价格得分”。</w:t>
      </w:r>
      <w:bookmarkStart w:id="12" w:name="IsHasSample2"/>
      <w:bookmarkEnd w:id="12"/>
      <w:bookmarkStart w:id="13" w:name="NotRequestDemoOrRequestInstantReply"/>
      <w:bookmarkEnd w:id="13"/>
    </w:p>
    <w:p>
      <w:pPr>
        <w:widowControl/>
        <w:spacing w:line="360" w:lineRule="auto"/>
        <w:ind w:left="1"/>
        <w:jc w:val="center"/>
        <w:rPr>
          <w:rFonts w:hint="eastAsia" w:ascii="宋体" w:hAnsi="宋体"/>
          <w:b/>
          <w:sz w:val="24"/>
          <w:szCs w:val="24"/>
        </w:rPr>
      </w:pPr>
    </w:p>
    <w:p>
      <w:pPr>
        <w:widowControl/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（二）</w:t>
      </w:r>
      <w:r>
        <w:rPr>
          <w:rFonts w:hint="eastAsia" w:ascii="宋体" w:hAnsi="宋体"/>
          <w:b/>
          <w:sz w:val="24"/>
          <w:szCs w:val="24"/>
        </w:rPr>
        <w:t>.技术评分</w:t>
      </w:r>
    </w:p>
    <w:p>
      <w:pPr>
        <w:widowControl/>
        <w:numPr>
          <w:ilvl w:val="0"/>
          <w:numId w:val="6"/>
        </w:numPr>
        <w:tabs>
          <w:tab w:val="left" w:pos="0"/>
          <w:tab w:val="left" w:pos="720"/>
          <w:tab w:val="left" w:pos="1080"/>
        </w:tabs>
        <w:spacing w:line="360" w:lineRule="auto"/>
        <w:ind w:left="0"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由</w:t>
      </w:r>
      <w:r>
        <w:rPr>
          <w:rFonts w:hint="eastAsia" w:ascii="宋体" w:hAnsi="宋体"/>
          <w:sz w:val="24"/>
          <w:szCs w:val="24"/>
          <w:lang w:eastAsia="zh-CN"/>
        </w:rPr>
        <w:t>评审</w:t>
      </w:r>
      <w:r>
        <w:rPr>
          <w:rFonts w:hint="eastAsia" w:ascii="宋体" w:hAnsi="宋体" w:cs="Arial"/>
          <w:sz w:val="24"/>
          <w:szCs w:val="24"/>
          <w:lang w:eastAsia="zh-CN"/>
        </w:rPr>
        <w:t>委员会</w:t>
      </w:r>
      <w:r>
        <w:rPr>
          <w:rFonts w:hint="eastAsia" w:ascii="宋体" w:hAnsi="宋体"/>
          <w:sz w:val="24"/>
          <w:szCs w:val="24"/>
        </w:rPr>
        <w:t>成员对所有有效响应文件的技术和服务响应方案进行审核和分析，填写《技术评分表》，如下：</w:t>
      </w:r>
    </w:p>
    <w:tbl>
      <w:tblPr>
        <w:tblStyle w:val="5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916"/>
        <w:gridCol w:w="47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分值（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评分点名称</w:t>
            </w:r>
          </w:p>
        </w:tc>
        <w:tc>
          <w:tcPr>
            <w:tcW w:w="47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4"/>
                <w:szCs w:val="24"/>
              </w:rPr>
              <w:t>评审标准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81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240" w:hanging="240" w:hangingChars="100"/>
              <w:rPr>
                <w:rFonts w:hint="default" w:ascii="宋体" w:hAnsi="宋体" w:cs="Arial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  <w:t>服务器技术指标响应情况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auto"/>
              <w:jc w:val="left"/>
              <w:rPr>
                <w:rFonts w:hint="eastAsia" w:asciiTheme="minorEastAsia" w:hAnsiTheme="minorEastAsia" w:eastAsiaTheme="minorEastAsia"/>
                <w:sz w:val="24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1"/>
                <w:lang w:eastAsia="zh-TW"/>
              </w:rPr>
              <w:t>至少两颗CPU，核心数</w:t>
            </w:r>
            <w:r>
              <w:rPr>
                <w:rFonts w:hint="eastAsia" w:asciiTheme="minorEastAsia" w:hAnsiTheme="minorEastAsia" w:eastAsiaTheme="minorEastAsia"/>
                <w:sz w:val="24"/>
                <w:szCs w:val="21"/>
                <w:lang w:val="zh-CN" w:eastAsia="zh-TW"/>
              </w:rPr>
              <w:t>≥</w:t>
            </w:r>
            <w:r>
              <w:rPr>
                <w:rFonts w:hint="eastAsia" w:asciiTheme="minorEastAsia" w:hAnsiTheme="minorEastAsia" w:eastAsiaTheme="minorEastAsia"/>
                <w:sz w:val="24"/>
                <w:szCs w:val="21"/>
                <w:lang w:val="en-US" w:eastAsia="zh-CN"/>
              </w:rPr>
              <w:t>16，主频</w:t>
            </w:r>
            <w:r>
              <w:rPr>
                <w:rFonts w:hint="eastAsia" w:asciiTheme="minorEastAsia" w:hAnsiTheme="minorEastAsia" w:eastAsiaTheme="minorEastAsia"/>
                <w:sz w:val="24"/>
                <w:szCs w:val="21"/>
                <w:lang w:val="zh-CN" w:eastAsia="zh-TW"/>
              </w:rPr>
              <w:t>≥</w:t>
            </w:r>
            <w:r>
              <w:rPr>
                <w:rFonts w:hint="eastAsia" w:asciiTheme="minorEastAsia" w:hAnsiTheme="minorEastAsia" w:eastAsiaTheme="minorEastAsia"/>
                <w:sz w:val="24"/>
                <w:szCs w:val="21"/>
                <w:lang w:val="en-US" w:eastAsia="zh-CN"/>
              </w:rPr>
              <w:t>2.6G</w:t>
            </w:r>
          </w:p>
          <w:p>
            <w:pPr>
              <w:autoSpaceDE w:val="0"/>
              <w:autoSpaceDN w:val="0"/>
              <w:rPr>
                <w:rFonts w:hint="default" w:asciiTheme="minorEastAsia" w:hAnsiTheme="minorEastAsia" w:eastAsiaTheme="minorEastAsia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支持基于OU、用户组以及账号属性进行用户同步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shd w:val="clear" w:color="auto" w:fill="FFFFFF"/>
                <w:lang w:val="en-US" w:eastAsia="zh-CN"/>
              </w:rPr>
              <w:t xml:space="preserve"> 3.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支持树形的用户组管理，以便与现网行政管理架构吻合方便管理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支持角色管理，管理员可基于用户角色进行授权管理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以上3项完全响应得10分，响应2项得6分，响应1项得3分，响应0项得0分。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81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240" w:hanging="240" w:hangingChars="100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  <w:t>无线接入控制器</w:t>
            </w:r>
          </w:p>
          <w:p>
            <w:pPr>
              <w:widowControl/>
              <w:spacing w:line="360" w:lineRule="auto"/>
              <w:ind w:left="239" w:leftChars="114" w:firstLine="0" w:firstLineChars="0"/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eastAsia="zh-CN"/>
              </w:rPr>
              <w:t>响应情况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TW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 *10GE光口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TW"/>
              </w:rPr>
              <w:t>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10 个 GE 电口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eastAsia="宋体" w:asciiTheme="minorEastAsia" w:hAnsiTheme="minorEastAsia" w:cstheme="minorEastAsia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2.最大管理数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TW"/>
              </w:rPr>
              <w:t>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256 3.转发量</w:t>
            </w:r>
            <w:r>
              <w:rPr>
                <w:rFonts w:hint="eastAsia" w:asciiTheme="minorEastAsia" w:hAnsiTheme="minorEastAsia" w:eastAsiaTheme="minorEastAsia"/>
                <w:sz w:val="24"/>
                <w:szCs w:val="21"/>
                <w:lang w:eastAsia="zh-TW"/>
              </w:rPr>
              <w:t>≥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szCs w:val="21"/>
                <w:lang w:eastAsia="zh-TW"/>
              </w:rPr>
              <w:t>6G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TW" w:bidi="ar"/>
              </w:rPr>
              <w:t>bps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。以上3项完全响应得10分，响应2项得6分，响应1项得3分，响应0项得0分。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81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ind w:left="240" w:hanging="240" w:hangingChars="100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室外AP技术指标响应情况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widowControl/>
              <w:shd w:val="clear" w:color="auto" w:fill="FFFFFF"/>
              <w:spacing w:beforeAutospacing="0" w:after="150" w:afterAutospacing="0" w:line="360" w:lineRule="auto"/>
              <w:rPr>
                <w:rFonts w:hint="default" w:ascii="宋体" w:hAnsi="宋体" w:cs="Arial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4"/>
                <w:shd w:val="clear" w:color="auto" w:fill="FFFFFF"/>
              </w:rPr>
              <w:t>1.</w:t>
            </w:r>
            <w:r>
              <w:rPr>
                <w:rFonts w:hint="eastAsia" w:asciiTheme="minorEastAsia" w:hAnsiTheme="minorEastAsia" w:cstheme="minorEastAsia"/>
                <w:shd w:val="clear" w:color="auto" w:fill="FFFFFF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4"/>
                <w:shd w:val="clear" w:color="auto" w:fill="FFFFFF"/>
              </w:rPr>
              <w:t>10/100/1000M自适应以太网接口</w:t>
            </w:r>
            <w:r>
              <w:rPr>
                <w:rFonts w:cs="Arial" w:asciiTheme="minorEastAsia" w:hAnsiTheme="minorEastAsia"/>
                <w:szCs w:val="24"/>
              </w:rPr>
              <w:t>≥</w:t>
            </w:r>
            <w:r>
              <w:rPr>
                <w:rFonts w:hint="eastAsia" w:asciiTheme="minorEastAsia" w:hAnsiTheme="minorEastAsia" w:cstheme="minorEastAsia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4"/>
                <w:shd w:val="clear" w:color="auto" w:fill="FFFFFF"/>
              </w:rPr>
              <w:t>(RJ45×1)管理console口</w:t>
            </w:r>
            <w:r>
              <w:rPr>
                <w:rFonts w:cs="Arial" w:asciiTheme="minorEastAsia" w:hAnsiTheme="minorEastAsia"/>
                <w:szCs w:val="24"/>
              </w:rPr>
              <w:t>≥</w:t>
            </w:r>
            <w:r>
              <w:rPr>
                <w:rFonts w:hint="eastAsia" w:asciiTheme="minorEastAsia" w:hAnsiTheme="minorEastAsia" w:cstheme="minorEastAsia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4"/>
                <w:shd w:val="clear" w:color="auto" w:fill="FFFFFF"/>
              </w:rPr>
              <w:t xml:space="preserve">（RJ45 x 1）  </w:t>
            </w:r>
            <w:r>
              <w:rPr>
                <w:rFonts w:hint="eastAsia" w:asciiTheme="minorEastAsia" w:hAnsiTheme="minorEastAsia" w:cstheme="minorEastAsia"/>
                <w:szCs w:val="24"/>
              </w:rPr>
              <w:t>以太网上联端口(支持POE受电)</w:t>
            </w:r>
            <w:r>
              <w:rPr>
                <w:rFonts w:hint="eastAsia" w:asciiTheme="minorEastAsia" w:hAnsiTheme="minorEastAsia" w:cstheme="minorEastAsia"/>
              </w:rPr>
              <w:t>2.</w:t>
            </w:r>
            <w:r>
              <w:rPr>
                <w:rFonts w:hint="eastAsia" w:asciiTheme="minorEastAsia" w:hAnsiTheme="minorEastAsia" w:cstheme="minorEastAsia"/>
                <w:shd w:val="clear" w:color="auto" w:fill="FFFFFF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4"/>
                <w:shd w:val="clear" w:color="auto" w:fill="FFFFFF"/>
              </w:rPr>
              <w:t xml:space="preserve">天线增益 </w:t>
            </w:r>
            <w:r>
              <w:rPr>
                <w:rFonts w:cs="Arial" w:asciiTheme="minorEastAsia" w:hAnsiTheme="minorEastAsia"/>
                <w:szCs w:val="24"/>
              </w:rPr>
              <w:t>≥</w:t>
            </w:r>
            <w:r>
              <w:rPr>
                <w:rFonts w:hint="eastAsia" w:asciiTheme="minorEastAsia" w:hAnsiTheme="minorEastAsia" w:cstheme="minorEastAsia"/>
                <w:szCs w:val="24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4"/>
                <w:shd w:val="clear" w:color="auto" w:fill="FFFFFF"/>
              </w:rPr>
              <w:t xml:space="preserve"> 2.4G:5dBi  5G:5dBi </w:t>
            </w:r>
            <w:r>
              <w:rPr>
                <w:rFonts w:hint="eastAsia" w:asciiTheme="minorEastAsia" w:hAnsiTheme="minorEastAsia" w:cstheme="minorEastAsia"/>
                <w:shd w:val="clear" w:color="auto" w:fill="FFFFFF"/>
              </w:rPr>
              <w:t>3.</w:t>
            </w:r>
            <w:r>
              <w:rPr>
                <w:rFonts w:hint="eastAsia" w:asciiTheme="minorEastAsia" w:hAnsiTheme="minorEastAsia" w:cstheme="minorEastAsia"/>
                <w:szCs w:val="24"/>
                <w:shd w:val="clear" w:color="auto" w:fill="FFFFFF"/>
              </w:rPr>
              <w:t>WLAN特性 兼容</w:t>
            </w:r>
            <w:r>
              <w:rPr>
                <w:rFonts w:hint="eastAsia" w:asciiTheme="minorEastAsia" w:hAnsiTheme="minorEastAsia" w:cstheme="minorEastAsia"/>
                <w:shd w:val="clear" w:color="auto" w:fill="FFFFFF"/>
              </w:rPr>
              <w:t xml:space="preserve">IEEE </w:t>
            </w:r>
            <w:r>
              <w:rPr>
                <w:rFonts w:hint="eastAsia" w:asciiTheme="minorEastAsia" w:hAnsiTheme="minorEastAsia" w:cstheme="minorEastAsia"/>
                <w:szCs w:val="24"/>
                <w:shd w:val="clear" w:color="auto" w:fill="FFFFFF"/>
              </w:rPr>
              <w:t>802.11a/b/g/n/ac/ac Wave 2标准支持双频两条流，整机四条流，最高速率达1.267Gbps/s支持最大合并比（MRC）。</w:t>
            </w:r>
            <w:r>
              <w:rPr>
                <w:rFonts w:hint="eastAsia" w:asciiTheme="minorEastAsia" w:hAnsiTheme="minorEastAsia" w:cstheme="minorEastAsia"/>
                <w:shd w:val="clear" w:color="auto" w:fill="FFFFFF"/>
              </w:rPr>
              <w:t>4</w:t>
            </w:r>
            <w:r>
              <w:rPr>
                <w:rFonts w:hint="eastAsia" w:asciiTheme="minorEastAsia" w:hAnsiTheme="minorEastAsia" w:cstheme="minorEastAsia"/>
                <w:szCs w:val="24"/>
                <w:shd w:val="clear" w:color="auto" w:fill="FFFFFF"/>
              </w:rPr>
              <w:t>.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4"/>
                <w:shd w:val="clear" w:color="auto" w:fill="FFFFFF"/>
              </w:rPr>
              <w:t>支持空时分组码（STBC）支持循环延时/循环移位分集</w:t>
            </w:r>
            <w:r>
              <w:rPr>
                <w:rFonts w:hint="eastAsia" w:asciiTheme="minorEastAsia" w:hAnsiTheme="minorEastAsia" w:cstheme="minorEastAsia"/>
                <w:shd w:val="clear" w:color="auto" w:fill="FFFFFF"/>
              </w:rPr>
              <w:t xml:space="preserve"> (CDD/CSD)支持波束成 5</w:t>
            </w:r>
            <w:r>
              <w:rPr>
                <w:rFonts w:hint="eastAsia" w:asciiTheme="minorEastAsia" w:hAnsiTheme="minorEastAsia" w:cstheme="minorEastAsia"/>
                <w:szCs w:val="24"/>
                <w:shd w:val="clear" w:color="auto" w:fill="FFFFFF"/>
              </w:rPr>
              <w:t>. 支持自动和手动两种速率调节方式，默认方式为自动速率调节方式</w:t>
            </w:r>
            <w:r>
              <w:rPr>
                <w:rFonts w:hint="eastAsia" w:asciiTheme="minorEastAsia" w:hAnsiTheme="minorEastAsia" w:cstheme="minorEastAsia"/>
                <w:shd w:val="clear" w:color="auto" w:fill="FFFFFF"/>
              </w:rPr>
              <w:t xml:space="preserve"> 6.</w:t>
            </w:r>
            <w:r>
              <w:rPr>
                <w:rFonts w:hint="eastAsia" w:asciiTheme="minorEastAsia" w:hAnsiTheme="minorEastAsia" w:cstheme="minorEastAsia"/>
                <w:szCs w:val="24"/>
                <w:shd w:val="clear" w:color="auto" w:fill="FFFFFF"/>
              </w:rPr>
              <w:t xml:space="preserve"> 支持广域逃生，本地转发模式下，AP与AC连接中断后，原有用户在线、新用户正常接入，业务不中断 </w:t>
            </w:r>
            <w:r>
              <w:rPr>
                <w:rFonts w:hint="eastAsia" w:asciiTheme="minorEastAsia" w:hAnsiTheme="minorEastAsia" w:cstheme="minorEastAsia"/>
                <w:shd w:val="clear" w:color="auto" w:fill="FFFFFF"/>
              </w:rPr>
              <w:t>7.</w:t>
            </w:r>
            <w:r>
              <w:rPr>
                <w:rFonts w:hint="eastAsia" w:asciiTheme="minorEastAsia" w:hAnsiTheme="minorEastAsia" w:cstheme="minorEastAsia"/>
                <w:szCs w:val="24"/>
                <w:shd w:val="clear" w:color="auto" w:fill="FFFFFF"/>
              </w:rPr>
              <w:t xml:space="preserve"> 支持AP上联口管理通道以tagged和untagged两种模式组网支持DHCP Client，</w:t>
            </w:r>
            <w:r>
              <w:rPr>
                <w:rFonts w:hint="eastAsia" w:asciiTheme="minorEastAsia" w:hAnsiTheme="minorEastAsia" w:cstheme="minorEastAsia"/>
                <w:shd w:val="clear" w:color="auto" w:fill="FFFFFF"/>
              </w:rPr>
              <w:t xml:space="preserve"> 8.</w:t>
            </w:r>
            <w:r>
              <w:rPr>
                <w:rFonts w:hint="eastAsia" w:asciiTheme="minorEastAsia" w:hAnsiTheme="minorEastAsia" w:cstheme="minorEastAsia"/>
                <w:szCs w:val="24"/>
                <w:shd w:val="clear" w:color="auto" w:fill="FFFFFF"/>
              </w:rPr>
              <w:t xml:space="preserve"> 支持基于每用户的带宽限制</w:t>
            </w:r>
            <w:r>
              <w:rPr>
                <w:rFonts w:hint="eastAsia" w:asciiTheme="minorEastAsia" w:hAnsiTheme="minorEastAsia" w:cstheme="minorEastAsia"/>
                <w:shd w:val="clear" w:color="auto" w:fill="FFFFFF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4"/>
                <w:shd w:val="clear" w:color="auto" w:fill="FFFFFF"/>
              </w:rPr>
              <w:t>支持自适应带宽管理，自动根据用户数量、环境等因素动态调整用户带宽分配，改善用户体验</w:t>
            </w:r>
            <w:r>
              <w:rPr>
                <w:rFonts w:hint="eastAsia" w:asciiTheme="minorEastAsia" w:hAnsiTheme="minorEastAsia" w:cstheme="minorEastAsia"/>
                <w:shd w:val="clear" w:color="auto" w:fill="FFFFFF"/>
              </w:rPr>
              <w:t>。</w:t>
            </w:r>
            <w:r>
              <w:rPr>
                <w:rFonts w:hint="eastAsia" w:asciiTheme="minorEastAsia" w:hAnsiTheme="minorEastAsia" w:cstheme="minorEastAsia"/>
                <w:shd w:val="clear" w:color="auto" w:fill="FFFFFF"/>
                <w:lang w:val="en-US" w:eastAsia="zh-CN"/>
              </w:rPr>
              <w:t xml:space="preserve"> 以上8项完全响应得10分，响应7-9项得6分，响应4-6项得3分，响应3项及以下得0分。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8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24"/>
              </w:rPr>
              <w:t>项目整体实施方案</w:t>
            </w:r>
          </w:p>
        </w:tc>
        <w:tc>
          <w:tcPr>
            <w:tcW w:w="47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Arial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评估工程实施方案的合理性、工期安排的可操作性、施工组织的科学性、验收的规范性，以及供应商工程实施水平。对比最优得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分；对比次之得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分；对比一般得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 w:val="24"/>
                <w:szCs w:val="24"/>
              </w:rPr>
              <w:t>分；对比最差得0分。</w:t>
            </w:r>
          </w:p>
        </w:tc>
      </w:tr>
    </w:tbl>
    <w:p>
      <w:pPr>
        <w:widowControl/>
        <w:tabs>
          <w:tab w:val="left" w:pos="0"/>
          <w:tab w:val="left" w:pos="720"/>
          <w:tab w:val="left" w:pos="1080"/>
          <w:tab w:val="left" w:pos="1680"/>
        </w:tabs>
        <w:spacing w:line="360" w:lineRule="auto"/>
        <w:ind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（2）将所有</w:t>
      </w:r>
      <w:r>
        <w:rPr>
          <w:rFonts w:hint="eastAsia" w:ascii="宋体" w:hAnsi="宋体"/>
          <w:sz w:val="24"/>
          <w:szCs w:val="24"/>
          <w:lang w:eastAsia="zh-CN"/>
        </w:rPr>
        <w:t>评审</w:t>
      </w:r>
      <w:r>
        <w:rPr>
          <w:rFonts w:hint="eastAsia" w:ascii="宋体" w:hAnsi="宋体" w:cs="Arial"/>
          <w:sz w:val="24"/>
          <w:szCs w:val="24"/>
          <w:lang w:eastAsia="zh-CN"/>
        </w:rPr>
        <w:t>委员会</w:t>
      </w:r>
      <w:r>
        <w:rPr>
          <w:rFonts w:hint="eastAsia" w:ascii="宋体" w:hAnsi="宋体"/>
          <w:sz w:val="24"/>
          <w:szCs w:val="24"/>
        </w:rPr>
        <w:t>成员所评各项的得分进行算术平均（按四舍五入原则精确到小数点后三位），再汇总得出该供应商的技术评分（按四舍五入原则精确到小数点后两位）。</w:t>
      </w:r>
    </w:p>
    <w:p>
      <w:pPr>
        <w:widowControl/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（三）</w:t>
      </w:r>
      <w:r>
        <w:rPr>
          <w:rFonts w:hint="eastAsia" w:ascii="宋体" w:hAnsi="宋体"/>
          <w:b/>
          <w:sz w:val="24"/>
          <w:szCs w:val="24"/>
        </w:rPr>
        <w:t xml:space="preserve">商务评分  </w:t>
      </w:r>
    </w:p>
    <w:p>
      <w:pPr>
        <w:widowControl/>
        <w:tabs>
          <w:tab w:val="left" w:pos="0"/>
          <w:tab w:val="left" w:pos="720"/>
          <w:tab w:val="left" w:pos="1080"/>
        </w:tabs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（1）由</w:t>
      </w:r>
      <w:r>
        <w:rPr>
          <w:rFonts w:hint="eastAsia" w:ascii="宋体" w:hAnsi="宋体"/>
          <w:sz w:val="24"/>
          <w:szCs w:val="24"/>
          <w:lang w:eastAsia="zh-CN"/>
        </w:rPr>
        <w:t>评审</w:t>
      </w:r>
      <w:r>
        <w:rPr>
          <w:rFonts w:hint="eastAsia" w:ascii="宋体" w:hAnsi="宋体" w:cs="Arial"/>
          <w:sz w:val="24"/>
          <w:szCs w:val="24"/>
          <w:lang w:eastAsia="zh-CN"/>
        </w:rPr>
        <w:t>委员会</w:t>
      </w:r>
      <w:r>
        <w:rPr>
          <w:rFonts w:hint="eastAsia" w:ascii="宋体" w:hAnsi="宋体"/>
          <w:sz w:val="24"/>
          <w:szCs w:val="24"/>
        </w:rPr>
        <w:t>成员对所有有效响应文件的商务条件进行审核和评价，填写《商务评分表》，如下：</w:t>
      </w:r>
    </w:p>
    <w:tbl>
      <w:tblPr>
        <w:tblStyle w:val="5"/>
        <w:tblW w:w="8219" w:type="dxa"/>
        <w:tblInd w:w="103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2877"/>
        <w:gridCol w:w="4110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分值（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30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2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评审内容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评分细则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项目经理资质情况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cs="宋体" w:asciiTheme="minorEastAsia" w:hAnsiTheme="minorEastAsia"/>
                <w:color w:val="000000"/>
                <w:sz w:val="24"/>
                <w:szCs w:val="24"/>
              </w:rPr>
              <w:t>1、具有国家工业和信息化部（原国家信息产业部）高级工程师或人力资源和社会保障部的高级技师认证证书；2、具有ITIL expert证书；3、具有PMP项目管理资质证书； 项目经理本人每个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cs="宋体" w:asciiTheme="minorEastAsia" w:hAnsiTheme="minorEastAsia"/>
                <w:color w:val="000000"/>
                <w:sz w:val="24"/>
                <w:szCs w:val="24"/>
              </w:rPr>
              <w:t>分，最高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cs="宋体" w:asciiTheme="minorEastAsia" w:hAnsiTheme="minorEastAsia"/>
                <w:color w:val="000000"/>
                <w:sz w:val="24"/>
                <w:szCs w:val="24"/>
              </w:rPr>
              <w:t>分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本项目主要技术管理人员资质情况（如中级或以上职称或技术资格的技术人员等）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sz w:val="24"/>
                <w:szCs w:val="24"/>
              </w:rPr>
              <w:t>具有国家工业和信息化部（或原信产部）颁发的</w:t>
            </w:r>
            <w:r>
              <w:rPr>
                <w:rFonts w:cs="宋体" w:asciiTheme="minorEastAsia" w:hAnsiTheme="minorEastAsia"/>
                <w:color w:val="auto"/>
                <w:sz w:val="24"/>
                <w:szCs w:val="24"/>
              </w:rPr>
              <w:t>中级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  <w:lang w:eastAsia="zh-CN"/>
              </w:rPr>
              <w:t>网络工程师</w:t>
            </w:r>
            <w:r>
              <w:rPr>
                <w:rFonts w:cs="宋体" w:asciiTheme="minorEastAsia" w:hAnsiTheme="minorEastAsia"/>
                <w:color w:val="auto"/>
                <w:sz w:val="24"/>
                <w:szCs w:val="24"/>
              </w:rPr>
              <w:t>或以上工程师人员情</w:t>
            </w:r>
            <w:r>
              <w:rPr>
                <w:rFonts w:cs="宋体" w:asciiTheme="minorEastAsia" w:hAnsiTheme="minorEastAsia"/>
                <w:color w:val="000000"/>
                <w:sz w:val="24"/>
                <w:szCs w:val="24"/>
              </w:rPr>
              <w:t>况。每个0.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5</w:t>
            </w:r>
            <w:r>
              <w:rPr>
                <w:rFonts w:cs="宋体" w:asciiTheme="minorEastAsia" w:hAnsiTheme="minorEastAsia"/>
                <w:color w:val="000000"/>
                <w:sz w:val="24"/>
                <w:szCs w:val="24"/>
              </w:rPr>
              <w:t>分，最高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cs="宋体" w:asciiTheme="minorEastAsia" w:hAnsiTheme="minorEastAsia"/>
                <w:color w:val="000000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供应商</w:t>
            </w:r>
            <w:r>
              <w:rPr>
                <w:rFonts w:ascii="宋体" w:hAnsi="宋体" w:cs="宋体"/>
                <w:sz w:val="24"/>
              </w:rPr>
              <w:t>稳定的技术服务人员</w:t>
            </w:r>
            <w:r>
              <w:rPr>
                <w:rFonts w:hint="eastAsia"/>
                <w:sz w:val="24"/>
                <w:szCs w:val="24"/>
              </w:rPr>
              <w:t>情况，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提供以上人员在本公司任职的外部证明材料（如加盖政府有关部门印章的打印日期在本项目</w:t>
            </w:r>
            <w:r>
              <w:rPr>
                <w:rFonts w:hint="eastAsia" w:ascii="宋体" w:hAnsi="宋体"/>
                <w:sz w:val="24"/>
                <w:szCs w:val="24"/>
              </w:rPr>
              <w:t>提交首次响应文件截止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日之前六个月以内的《投保单》或《社会保险参保人员证明》，或单位代缴个人所得税税单等)扫描件。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cs="宋体" w:asciiTheme="minorEastAsia" w:hAnsiTheme="minorEastAsia"/>
                <w:sz w:val="24"/>
                <w:szCs w:val="24"/>
              </w:rPr>
              <w:t>根据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供应商稳定的技术服务人员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情况进行对比，对比最优：得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分；对比次之：得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分；对比最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一般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：得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分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eastAsia="zh-CN"/>
              </w:rPr>
              <w:t>，对比最差：得</w:t>
            </w:r>
            <w:r>
              <w:rPr>
                <w:rFonts w:hint="eastAsia" w:cs="宋体" w:asciiTheme="minorEastAsia" w:hAnsiTheme="minorEastAsia"/>
                <w:sz w:val="24"/>
                <w:szCs w:val="24"/>
                <w:lang w:val="en-US" w:eastAsia="zh-CN"/>
              </w:rPr>
              <w:t>0分。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供应商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认证证书情况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hint="default" w:asciiTheme="minorEastAsia" w:hAnsiTheme="minorEastAsia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cs="宋体" w:asciiTheme="minorEastAsia" w:hAnsiTheme="minorEastAsia"/>
                <w:color w:val="000000"/>
                <w:sz w:val="24"/>
                <w:szCs w:val="24"/>
              </w:rPr>
              <w:t>1、提供ISO9001管理体系认证证书；2、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国家认证高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/>
              </w:rPr>
              <w:t>新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企业证书</w:t>
            </w:r>
            <w:r>
              <w:rPr>
                <w:rFonts w:cs="宋体" w:asciiTheme="minorEastAsia" w:hAnsiTheme="minorEastAsia"/>
                <w:color w:val="000000"/>
                <w:sz w:val="24"/>
                <w:szCs w:val="24"/>
              </w:rPr>
              <w:t>；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eastAsia="zh-CN"/>
              </w:rPr>
              <w:t>每提供一个得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>3分，最高得6分。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供应商</w:t>
            </w:r>
            <w:r>
              <w:rPr>
                <w:rFonts w:cs="宋体" w:asciiTheme="minorEastAsia" w:hAnsiTheme="minorEastAsia"/>
                <w:sz w:val="24"/>
                <w:szCs w:val="24"/>
              </w:rPr>
              <w:t>信誉（证明材料：如行业协会等第三方机构颁发的有关企业诚信的证明材料、银行信用等级证明材料等</w:t>
            </w:r>
            <w:r>
              <w:rPr>
                <w:rFonts w:hint="eastAsia" w:cs="宋体" w:ascii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000000"/>
                <w:sz w:val="24"/>
                <w:szCs w:val="24"/>
              </w:rPr>
              <w:t>提供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供应商</w:t>
            </w:r>
            <w:r>
              <w:rPr>
                <w:rFonts w:cs="宋体" w:asciiTheme="minorEastAsia" w:hAnsiTheme="minorEastAsia"/>
                <w:color w:val="000000"/>
                <w:sz w:val="24"/>
                <w:szCs w:val="24"/>
              </w:rPr>
              <w:t>信誉情况对比优得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cs="宋体" w:asciiTheme="minorEastAsia" w:hAnsiTheme="minorEastAsia"/>
                <w:color w:val="000000"/>
                <w:sz w:val="24"/>
                <w:szCs w:val="24"/>
              </w:rPr>
              <w:t>分；对比次之：得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2</w:t>
            </w:r>
            <w:r>
              <w:rPr>
                <w:rFonts w:cs="宋体" w:asciiTheme="minorEastAsia" w:hAnsiTheme="minorEastAsia"/>
                <w:color w:val="000000"/>
                <w:sz w:val="24"/>
                <w:szCs w:val="24"/>
              </w:rPr>
              <w:t>分；对比一般：得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1</w:t>
            </w:r>
            <w:r>
              <w:rPr>
                <w:rFonts w:cs="宋体" w:asciiTheme="minorEastAsia" w:hAnsiTheme="minorEastAsia"/>
                <w:color w:val="000000"/>
                <w:sz w:val="24"/>
                <w:szCs w:val="24"/>
              </w:rPr>
              <w:t>分；对比最差：得0分。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6</w:t>
            </w:r>
          </w:p>
        </w:tc>
        <w:tc>
          <w:tcPr>
            <w:tcW w:w="2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</w:pPr>
            <w:r>
              <w:rPr>
                <w:rFonts w:ascii="宋体" w:hAnsi="宋体" w:cs="宋体"/>
                <w:sz w:val="24"/>
              </w:rPr>
              <w:t>提供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最近三年</w:t>
            </w:r>
            <w:r>
              <w:rPr>
                <w:rFonts w:ascii="宋体" w:hAnsi="宋体" w:cs="宋体"/>
                <w:sz w:val="24"/>
              </w:rPr>
              <w:t>《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财务报表</w:t>
            </w:r>
            <w:r>
              <w:rPr>
                <w:rFonts w:ascii="宋体" w:hAnsi="宋体" w:cs="宋体"/>
                <w:sz w:val="24"/>
              </w:rPr>
              <w:t>》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每</w:t>
            </w:r>
            <w:r>
              <w:rPr>
                <w:rFonts w:ascii="宋体" w:hAnsi="宋体" w:cs="宋体"/>
                <w:color w:val="000000"/>
                <w:sz w:val="24"/>
              </w:rPr>
              <w:t>提供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一份</w:t>
            </w:r>
            <w:r>
              <w:rPr>
                <w:rFonts w:ascii="宋体" w:hAnsi="宋体" w:cs="宋体"/>
                <w:color w:val="000000"/>
                <w:sz w:val="24"/>
              </w:rPr>
              <w:t>得2分，</w:t>
            </w:r>
            <w:r>
              <w:rPr>
                <w:rFonts w:hint="eastAsia" w:ascii="宋体" w:hAnsi="宋体"/>
                <w:sz w:val="24"/>
              </w:rPr>
              <w:t>最高得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</w:rPr>
              <w:t>分</w:t>
            </w:r>
            <w:r>
              <w:rPr>
                <w:rFonts w:ascii="宋体" w:hAnsi="宋体" w:cs="宋体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同类项目经验：依据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2018</w:t>
            </w:r>
            <w:r>
              <w:rPr>
                <w:rFonts w:hint="eastAsia" w:ascii="宋体" w:hAnsi="宋体"/>
                <w:sz w:val="24"/>
              </w:rPr>
              <w:t>年以来完成的同类项目合同或验收报告情况进行评审。</w:t>
            </w:r>
            <w:r>
              <w:rPr>
                <w:rFonts w:hint="eastAsia" w:ascii="宋体" w:hAnsi="宋体"/>
                <w:sz w:val="24"/>
                <w:szCs w:val="21"/>
              </w:rPr>
              <w:t>【分支机构参加</w:t>
            </w:r>
            <w:r>
              <w:rPr>
                <w:rFonts w:hint="eastAsia" w:ascii="宋体" w:hAnsi="宋体"/>
                <w:sz w:val="24"/>
                <w:szCs w:val="21"/>
                <w:lang w:eastAsia="zh-CN"/>
              </w:rPr>
              <w:t>投标</w:t>
            </w:r>
            <w:r>
              <w:rPr>
                <w:rFonts w:hint="eastAsia" w:ascii="宋体" w:hAnsi="宋体"/>
                <w:sz w:val="24"/>
                <w:szCs w:val="21"/>
              </w:rPr>
              <w:t>的，总公司（总所）</w:t>
            </w:r>
            <w:bookmarkStart w:id="14" w:name="_GoBack"/>
            <w:bookmarkEnd w:id="14"/>
            <w:r>
              <w:rPr>
                <w:rFonts w:hint="eastAsia" w:ascii="宋体" w:hAnsi="宋体"/>
                <w:sz w:val="24"/>
                <w:szCs w:val="21"/>
              </w:rPr>
              <w:t>业绩可纳入评审】</w:t>
            </w:r>
          </w:p>
        </w:tc>
        <w:tc>
          <w:tcPr>
            <w:tcW w:w="4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每提供一个同类项目经验得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分，最高得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</w:rPr>
              <w:t>分。请供应商严格按照要求提交相关证明材料，否则有可能影响评审结果。（1.提交首次响应文件时需提供项目合同及验收报告扫描件。2.提供多个业绩均为同一用户单位的，只计算为一个业绩。）</w:t>
            </w:r>
          </w:p>
        </w:tc>
      </w:tr>
    </w:tbl>
    <w:p>
      <w:pPr>
        <w:widowControl/>
        <w:tabs>
          <w:tab w:val="left" w:pos="0"/>
          <w:tab w:val="left" w:pos="720"/>
          <w:tab w:val="left" w:pos="1080"/>
        </w:tabs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说明：（1）上表所列为供应商的商务条件。请供应商严格按照要求提交相关证明材料，否则有可能影响评审结果。</w:t>
      </w:r>
    </w:p>
    <w:p>
      <w:pPr>
        <w:widowControl/>
        <w:tabs>
          <w:tab w:val="left" w:pos="0"/>
          <w:tab w:val="left" w:pos="720"/>
          <w:tab w:val="left" w:pos="1080"/>
        </w:tabs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（2）将所有</w:t>
      </w:r>
      <w:r>
        <w:rPr>
          <w:rFonts w:hint="eastAsia" w:ascii="宋体" w:hAnsi="宋体"/>
          <w:sz w:val="24"/>
          <w:szCs w:val="24"/>
          <w:lang w:eastAsia="zh-CN"/>
        </w:rPr>
        <w:t>评审</w:t>
      </w:r>
      <w:r>
        <w:rPr>
          <w:rFonts w:hint="eastAsia" w:ascii="宋体" w:hAnsi="宋体" w:cs="Arial"/>
          <w:sz w:val="24"/>
          <w:szCs w:val="24"/>
          <w:lang w:eastAsia="zh-CN"/>
        </w:rPr>
        <w:t>委员会</w:t>
      </w:r>
      <w:r>
        <w:rPr>
          <w:rFonts w:hint="eastAsia" w:ascii="宋体" w:hAnsi="宋体"/>
          <w:sz w:val="24"/>
          <w:szCs w:val="24"/>
        </w:rPr>
        <w:t>成员所评各项的得分进行算术平均（按四舍五入原则精确到小数点后三位），再汇总得出该供应商的商务评分（按四舍五入原则精确到小数点后两位）。</w:t>
      </w:r>
    </w:p>
    <w:p>
      <w:pPr>
        <w:pStyle w:val="8"/>
        <w:widowControl/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（四）</w:t>
      </w:r>
      <w:r>
        <w:rPr>
          <w:rFonts w:hint="eastAsia" w:ascii="宋体" w:hAnsi="宋体"/>
          <w:b/>
          <w:sz w:val="24"/>
          <w:szCs w:val="24"/>
        </w:rPr>
        <w:t>综合评分的计算</w:t>
      </w:r>
    </w:p>
    <w:p>
      <w:pPr>
        <w:widowControl/>
        <w:tabs>
          <w:tab w:val="left" w:pos="720"/>
        </w:tabs>
        <w:spacing w:line="360" w:lineRule="auto"/>
        <w:ind w:left="36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（1）综合评分=技术评分＋商务评分＋价格评分+综合信用评价得分</w:t>
      </w:r>
      <w:r>
        <w:rPr>
          <w:rFonts w:hint="eastAsia" w:ascii="宋体" w:hAnsi="宋体"/>
          <w:bCs/>
          <w:sz w:val="24"/>
          <w:szCs w:val="24"/>
        </w:rPr>
        <w:t>；</w:t>
      </w:r>
    </w:p>
    <w:p>
      <w:pPr>
        <w:widowControl/>
        <w:tabs>
          <w:tab w:val="left" w:pos="720"/>
        </w:tabs>
        <w:spacing w:line="360" w:lineRule="auto"/>
        <w:ind w:left="36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（2）各项得分按四舍五入原则精确到小数点后两位。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57B323"/>
    <w:multiLevelType w:val="singleLevel"/>
    <w:tmpl w:val="A657B3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64FE07C"/>
    <w:multiLevelType w:val="singleLevel"/>
    <w:tmpl w:val="D64FE07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1A"/>
    <w:multiLevelType w:val="multilevel"/>
    <w:tmpl w:val="0000001A"/>
    <w:lvl w:ilvl="0" w:tentative="0">
      <w:start w:val="1"/>
      <w:numFmt w:val="decimal"/>
      <w:lvlText w:val="%1."/>
      <w:lvlJc w:val="left"/>
      <w:pPr>
        <w:ind w:left="986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406" w:hanging="4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abstractNum w:abstractNumId="3">
    <w:nsid w:val="00000030"/>
    <w:multiLevelType w:val="multilevel"/>
    <w:tmpl w:val="00000030"/>
    <w:lvl w:ilvl="0" w:tentative="0">
      <w:start w:val="1"/>
      <w:numFmt w:val="decimal"/>
      <w:lvlText w:val="（%1)"/>
      <w:lvlJc w:val="left"/>
      <w:pPr>
        <w:tabs>
          <w:tab w:val="left" w:pos="1680"/>
        </w:tabs>
        <w:ind w:left="16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680"/>
        </w:tabs>
        <w:ind w:left="16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100"/>
        </w:tabs>
        <w:ind w:left="21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940"/>
        </w:tabs>
        <w:ind w:left="29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360"/>
        </w:tabs>
        <w:ind w:left="33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780"/>
        </w:tabs>
        <w:ind w:left="37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200"/>
        </w:tabs>
        <w:ind w:left="42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620"/>
        </w:tabs>
        <w:ind w:left="4620" w:hanging="420"/>
      </w:pPr>
    </w:lvl>
  </w:abstractNum>
  <w:abstractNum w:abstractNumId="4">
    <w:nsid w:val="1734525A"/>
    <w:multiLevelType w:val="multilevel"/>
    <w:tmpl w:val="1734525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b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b w:val="0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5">
    <w:nsid w:val="1EE610FE"/>
    <w:multiLevelType w:val="multilevel"/>
    <w:tmpl w:val="1EE610F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b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b w:val="0"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abstractNum w:abstractNumId="6">
    <w:nsid w:val="6E6F60E5"/>
    <w:multiLevelType w:val="multilevel"/>
    <w:tmpl w:val="6E6F60E5"/>
    <w:lvl w:ilvl="0" w:tentative="0">
      <w:start w:val="1"/>
      <w:numFmt w:val="chineseCountingThousand"/>
      <w:lvlText w:val="第%1部分"/>
      <w:lvlJc w:val="left"/>
      <w:pPr>
        <w:tabs>
          <w:tab w:val="left" w:pos="1134"/>
        </w:tabs>
        <w:ind w:left="432" w:hanging="432"/>
      </w:pPr>
      <w:rPr>
        <w:rFonts w:hint="eastAsia"/>
      </w:rPr>
    </w:lvl>
    <w:lvl w:ilvl="1" w:tentative="0">
      <w:start w:val="1"/>
      <w:numFmt w:val="chineseCountingThousand"/>
      <w:lvlText w:val="%2、"/>
      <w:lvlJc w:val="left"/>
      <w:pPr>
        <w:ind w:left="576" w:hanging="576"/>
      </w:pPr>
      <w:rPr>
        <w:rFonts w:hint="eastAsia"/>
        <w:lang w:val="en-US" w:eastAsia="zh-CN"/>
      </w:rPr>
    </w:lvl>
    <w:lvl w:ilvl="2" w:tentative="0">
      <w:start w:val="1"/>
      <w:numFmt w:val="chineseCountingThousand"/>
      <w:pStyle w:val="10"/>
      <w:lvlText w:val="（%3）"/>
      <w:lvlJc w:val="left"/>
      <w:pPr>
        <w:ind w:left="737" w:hanging="737"/>
      </w:pPr>
      <w:rPr>
        <w:rFonts w:hint="eastAsia" w:ascii="Arial" w:hAnsi="Arial" w:eastAsia="黑体"/>
        <w:b/>
        <w:i w:val="0"/>
        <w:lang w:val="en-US"/>
      </w:rPr>
    </w:lvl>
    <w:lvl w:ilvl="3" w:tentative="0">
      <w:start w:val="1"/>
      <w:numFmt w:val="decimal"/>
      <w:isLgl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lvlText w:val="%2.%3.%4.%5"/>
      <w:lvlJc w:val="left"/>
      <w:pPr>
        <w:ind w:left="1008" w:hanging="1008"/>
      </w:pPr>
      <w:rPr>
        <w:rFonts w:hint="eastAsia"/>
        <w:sz w:val="28"/>
        <w:szCs w:val="28"/>
        <w:lang w:val="en-US"/>
      </w:rPr>
    </w:lvl>
    <w:lvl w:ilvl="5" w:tentative="0">
      <w:start w:val="1"/>
      <w:numFmt w:val="decimal"/>
      <w:isLgl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7">
    <w:nsid w:val="6F61B1B2"/>
    <w:multiLevelType w:val="singleLevel"/>
    <w:tmpl w:val="6F61B1B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F4732A"/>
    <w:rsid w:val="3A1E28F0"/>
    <w:rsid w:val="41B77A42"/>
    <w:rsid w:val="557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Title"/>
    <w:basedOn w:val="1"/>
    <w:qFormat/>
    <w:uiPriority w:val="0"/>
    <w:pPr>
      <w:pageBreakBefore/>
      <w:tabs>
        <w:tab w:val="left" w:pos="600"/>
        <w:tab w:val="left" w:pos="960"/>
        <w:tab w:val="left" w:pos="1080"/>
      </w:tabs>
      <w:overflowPunct w:val="0"/>
      <w:spacing w:before="240" w:after="60" w:line="360" w:lineRule="auto"/>
      <w:ind w:left="839" w:right="-357" w:firstLine="480"/>
      <w:jc w:val="center"/>
      <w:outlineLvl w:val="0"/>
    </w:pPr>
    <w:rPr>
      <w:rFonts w:ascii="Arial" w:hAnsi="Arial"/>
      <w:b/>
      <w:kern w:val="0"/>
      <w:sz w:val="36"/>
      <w:szCs w:val="20"/>
    </w:rPr>
  </w:style>
  <w:style w:type="character" w:customStyle="1" w:styleId="7">
    <w:name w:val="p141"/>
    <w:qFormat/>
    <w:uiPriority w:val="0"/>
    <w:rPr>
      <w:sz w:val="21"/>
      <w:szCs w:val="21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kern w:val="0"/>
      <w:sz w:val="20"/>
      <w:szCs w:val="21"/>
    </w:rPr>
  </w:style>
  <w:style w:type="paragraph" w:customStyle="1" w:styleId="9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标题 3_0"/>
    <w:basedOn w:val="9"/>
    <w:next w:val="9"/>
    <w:qFormat/>
    <w:uiPriority w:val="0"/>
    <w:pPr>
      <w:keepNext/>
      <w:keepLines/>
      <w:numPr>
        <w:ilvl w:val="2"/>
        <w:numId w:val="1"/>
      </w:numPr>
      <w:spacing w:before="260" w:after="260"/>
      <w:outlineLvl w:val="2"/>
    </w:pPr>
    <w:rPr>
      <w:rFonts w:ascii="Times New Roman" w:hAnsi="Times New Roman" w:eastAsia="黑体" w:cs="Times New Roman"/>
      <w:b/>
      <w:kern w:val="0"/>
      <w:sz w:val="2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2020-04-16T08:34:00Z</dcterms:created>
  <dc:creator>Administrator</dc:creator>
  <cp:lastModifiedBy>徐鸿韬</cp:lastModifiedBy>
  <dcterms:modified xsi:type="dcterms:W3CDTF">2020-04-17T07:23:43Z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